
<file path=[Content_Types].xml><?xml version="1.0" encoding="utf-8"?>
<Types xmlns="http://schemas.openxmlformats.org/package/2006/content-types">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Override PartName="/word/numbering.xml" ContentType="application/vnd.openxmlformats-officedocument.wordprocessingml.numbering+xml"/>
  <Override PartName="/word/header2.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Override PartName="/word/styles.xml" ContentType="application/vnd.openxmlformats-officedocument.wordprocessingml.styles+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ind w:firstLine="709"/>
        <w:jc w:val="both"/>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both"/>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both"/>
        <w:spacing w:after="0" w:line="240" w:lineRule="auto"/>
        <w:rPr>
          <w:rFonts w:ascii="Times New Roman" w:hAnsi="Times New Roman" w:cs="Times New Roman"/>
          <w:b/>
          <w:sz w:val="28"/>
          <w:szCs w:val="28"/>
        </w:rPr>
      </w:pPr>
      <w:r>
        <w:rPr>
          <w:rFonts w:ascii="Times New Roman" w:hAnsi="Times New Roman" w:cs="Times New Roman"/>
          <w:b/>
          <w:sz w:val="28"/>
          <w:szCs w:val="28"/>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margin">
                  <wp:posOffset>-756285</wp:posOffset>
                </wp:positionH>
                <wp:positionV relativeFrom="margin">
                  <wp:posOffset>622935</wp:posOffset>
                </wp:positionV>
                <wp:extent cx="6838950" cy="4448175"/>
                <wp:effectExtent l="19050" t="0" r="0" b="0"/>
                <wp:wrapSquare wrapText="bothSides"/>
                <wp:docPr id="1" name="Рисунок 1" descr="MM_shadow-people-il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M_shadow-people-illus"/>
                        <pic:cNvPicPr>
                          <a:picLocks noChangeAspect="1"/>
                        </pic:cNvPicPr>
                        <pic:nvPr/>
                      </pic:nvPicPr>
                      <pic:blipFill>
                        <a:blip r:embed="rId13"/>
                        <a:stretch/>
                      </pic:blipFill>
                      <pic:spPr bwMode="auto">
                        <a:xfrm>
                          <a:off x="0" y="0"/>
                          <a:ext cx="6838950" cy="4448175"/>
                        </a:xfrm>
                        <a:prstGeom prst="rect">
                          <a:avLst/>
                        </a:prstGeom>
                        <a:noFill/>
                        <a:ln w="9525">
                          <a:noFill/>
                          <a:miter lim="800000"/>
                          <a:headEnd/>
                          <a:tailEnd/>
                        </a:ln>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51659264;o:allowoverlap:true;o:allowincell:true;mso-position-horizontal-relative:margin;margin-left:-59.55pt;mso-position-horizontal:absolute;mso-position-vertical-relative:margin;margin-top:49.05pt;mso-position-vertical:absolute;width:538.50pt;height:350.25pt;mso-wrap-distance-left:9.00pt;mso-wrap-distance-top:0.00pt;mso-wrap-distance-right:9.00pt;mso-wrap-distance-bottom:0.00pt;" stroked="f" strokeweight="0.75pt">
                <v:path textboxrect="0,0,0,0"/>
                <w10:wrap type="square"/>
                <v:imagedata r:id="rId13" o:title=""/>
              </v:shape>
            </w:pict>
          </mc:Fallback>
        </mc:AlternateContent>
      </w:r>
      <w:r>
        <w:rPr>
          <w:rFonts w:ascii="Times New Roman" w:hAnsi="Times New Roman" w:cs="Times New Roman"/>
          <w:b/>
          <w:sz w:val="28"/>
          <w:szCs w:val="28"/>
        </w:rPr>
      </w:r>
      <w:r>
        <w:rPr>
          <w:rFonts w:ascii="Times New Roman" w:hAnsi="Times New Roman" w:cs="Times New Roman"/>
          <w:b/>
          <w:sz w:val="28"/>
          <w:szCs w:val="28"/>
        </w:rPr>
      </w:r>
    </w:p>
    <w:p>
      <w:pPr>
        <w:ind w:firstLine="709"/>
        <w:jc w:val="both"/>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ИНФОРМАЦИОННЫЙ ВЫПУСК</w:t>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color w:val="000000"/>
          <w:sz w:val="28"/>
          <w:szCs w:val="28"/>
        </w:rPr>
      </w:pPr>
      <w:r>
        <w:rPr>
          <w:rFonts w:ascii="Times New Roman" w:hAnsi="Times New Roman" w:cs="Times New Roman"/>
          <w:b/>
          <w:sz w:val="28"/>
          <w:szCs w:val="28"/>
        </w:rPr>
        <w:t xml:space="preserve">«Об </w:t>
      </w:r>
      <w:r>
        <w:rPr>
          <w:rFonts w:ascii="Times New Roman" w:hAnsi="Times New Roman" w:cs="Times New Roman"/>
          <w:b/>
          <w:color w:val="000000"/>
          <w:sz w:val="28"/>
          <w:szCs w:val="28"/>
        </w:rPr>
        <w:t xml:space="preserve">оказании услуг</w:t>
      </w:r>
      <w:r>
        <w:rPr>
          <w:rFonts w:ascii="Times New Roman" w:hAnsi="Times New Roman" w:cs="Times New Roman"/>
          <w:b/>
          <w:color w:val="000000"/>
          <w:sz w:val="28"/>
          <w:szCs w:val="28"/>
        </w:rPr>
      </w:r>
      <w:r>
        <w:rPr>
          <w:rFonts w:ascii="Times New Roman" w:hAnsi="Times New Roman" w:cs="Times New Roman"/>
          <w:b/>
          <w:color w:val="000000"/>
          <w:sz w:val="28"/>
          <w:szCs w:val="28"/>
        </w:rPr>
      </w:r>
    </w:p>
    <w:p>
      <w:pPr>
        <w:ind w:firstLine="709"/>
        <w:jc w:val="center"/>
        <w:spacing w:after="0" w:line="240" w:lineRule="auto"/>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в сфере государственного кадастрового учета, государственной регистрации прав и</w:t>
      </w:r>
      <w:r>
        <w:rPr>
          <w:rFonts w:ascii="Times New Roman" w:hAnsi="Times New Roman" w:cs="Times New Roman"/>
          <w:b/>
          <w:color w:val="000000"/>
          <w:sz w:val="28"/>
          <w:szCs w:val="28"/>
        </w:rPr>
      </w:r>
      <w:r>
        <w:rPr>
          <w:rFonts w:ascii="Times New Roman" w:hAnsi="Times New Roman" w:cs="Times New Roman"/>
          <w:b/>
          <w:color w:val="000000"/>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color w:val="000000"/>
          <w:sz w:val="28"/>
          <w:szCs w:val="28"/>
        </w:rPr>
        <w:t xml:space="preserve">предоставления сведений из ЕГРН</w:t>
      </w:r>
      <w:r>
        <w:rPr>
          <w:rFonts w:ascii="Times New Roman" w:hAnsi="Times New Roman" w:cs="Times New Roman"/>
          <w:b/>
          <w:sz w:val="28"/>
          <w:szCs w:val="28"/>
        </w:rPr>
        <w:t xml:space="preserve">»</w:t>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ОТДЕЛ ПРАВОВОГО ОБЕСПЕЧЕНИЯ</w:t>
      </w:r>
      <w:r>
        <w:rPr>
          <w:rFonts w:ascii="Times New Roman" w:hAnsi="Times New Roman" w:cs="Times New Roman"/>
          <w:b/>
          <w:sz w:val="28"/>
          <w:szCs w:val="28"/>
        </w:rPr>
      </w:r>
      <w:r>
        <w:rPr>
          <w:rFonts w:ascii="Times New Roman" w:hAnsi="Times New Roman" w:cs="Times New Roman"/>
          <w:b/>
          <w:sz w:val="28"/>
          <w:szCs w:val="28"/>
        </w:rPr>
      </w:r>
    </w:p>
    <w:p>
      <w:pPr>
        <w:ind w:firstLine="709"/>
        <w:jc w:val="cente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УПРАВЛЕНИЯ РОСРЕЕСТРА ПО НОВОСИБИРСКОЙ ОБЛАСТИ</w:t>
      </w:r>
      <w:r>
        <w:rPr>
          <w:rFonts w:ascii="Times New Roman" w:hAnsi="Times New Roman" w:cs="Times New Roman"/>
          <w:b/>
          <w:sz w:val="28"/>
          <w:szCs w:val="28"/>
        </w:rPr>
      </w:r>
      <w:r>
        <w:rPr>
          <w:rFonts w:ascii="Times New Roman" w:hAnsi="Times New Roman" w:cs="Times New Roman"/>
          <w:b/>
          <w:sz w:val="28"/>
          <w:szCs w:val="28"/>
        </w:rPr>
      </w:r>
    </w:p>
    <w:p>
      <w:pPr>
        <w:ind w:firstLine="709"/>
        <w:jc w:val="both"/>
        <w:spacing w:after="0" w:line="240" w:lineRule="auto"/>
        <w:rPr>
          <w:rFonts w:ascii="Times New Roman" w:hAnsi="Times New Roman" w:cs="Times New Roman"/>
          <w:b/>
          <w:sz w:val="28"/>
          <w:szCs w:val="28"/>
        </w:rPr>
      </w:pPr>
      <w:r>
        <w:rPr>
          <w:rFonts w:ascii="Times New Roman" w:hAnsi="Times New Roman" w:cs="Times New Roman"/>
          <w:b/>
          <w:sz w:val="28"/>
          <w:szCs w:val="28"/>
        </w:rPr>
        <w:br w:type="page" w:clear="all"/>
      </w:r>
      <w:r>
        <w:rPr>
          <w:rFonts w:ascii="Times New Roman" w:hAnsi="Times New Roman" w:cs="Times New Roman"/>
          <w:b/>
          <w:sz w:val="28"/>
          <w:szCs w:val="28"/>
        </w:rPr>
      </w:r>
      <w:r>
        <w:rPr>
          <w:rFonts w:ascii="Times New Roman" w:hAnsi="Times New Roman" w:cs="Times New Roman"/>
          <w:b/>
          <w:sz w:val="28"/>
          <w:szCs w:val="28"/>
        </w:rPr>
      </w:r>
    </w:p>
    <w:p>
      <w:pPr>
        <w:pStyle w:val="962"/>
        <w:ind w:firstLine="709"/>
        <w:jc w:val="center"/>
        <w:rPr>
          <w:rFonts w:ascii="Times New Roman" w:hAnsi="Times New Roman" w:cs="Times New Roman"/>
          <w:b/>
          <w:bCs/>
          <w:i/>
          <w:sz w:val="28"/>
          <w:szCs w:val="28"/>
          <w:highlight w:val="none"/>
        </w:rPr>
      </w:pPr>
      <w:r>
        <w:rPr>
          <w:rFonts w:ascii="Times New Roman" w:hAnsi="Times New Roman" w:cs="Times New Roman"/>
          <w:b/>
          <w:i/>
          <w:sz w:val="28"/>
          <w:szCs w:val="28"/>
        </w:rPr>
        <w:t xml:space="preserve">Новости</w:t>
      </w:r>
      <w:r>
        <w:rPr>
          <w:rFonts w:ascii="Times New Roman" w:hAnsi="Times New Roman" w:cs="Times New Roman"/>
          <w:b/>
          <w:i/>
          <w:sz w:val="28"/>
          <w:szCs w:val="28"/>
        </w:rPr>
        <w:t xml:space="preserve"> закон</w:t>
      </w:r>
      <w:r>
        <w:rPr>
          <w:rFonts w:ascii="Times New Roman" w:hAnsi="Times New Roman" w:cs="Times New Roman"/>
          <w:b/>
          <w:i/>
          <w:sz w:val="28"/>
          <w:szCs w:val="28"/>
        </w:rPr>
        <w:t xml:space="preserve">одательства</w:t>
      </w:r>
      <w:r>
        <w:rPr>
          <w:rFonts w:ascii="Times New Roman" w:hAnsi="Times New Roman" w:cs="Times New Roman"/>
          <w:b/>
          <w:bCs/>
          <w:i/>
          <w:sz w:val="28"/>
          <w:szCs w:val="28"/>
          <w:highlight w:val="none"/>
        </w:rPr>
      </w:r>
      <w:r>
        <w:rPr>
          <w:rFonts w:ascii="Times New Roman" w:hAnsi="Times New Roman" w:cs="Times New Roman"/>
          <w:b/>
          <w:bCs/>
          <w:i/>
          <w:sz w:val="28"/>
          <w:szCs w:val="28"/>
          <w:highlight w:val="none"/>
        </w:rPr>
      </w:r>
    </w:p>
    <w:p>
      <w:pPr>
        <w:contextualSpacing/>
        <w:ind w:firstLine="708"/>
        <w:jc w:val="both"/>
        <w:rPr>
          <w:rFonts w:ascii="Times New Roman" w:hAnsi="Times New Roman" w:eastAsia="Calibri" w:cs="Times New Roman"/>
          <w:b w:val="0"/>
          <w:bCs w:val="0"/>
          <w:color w:val="000000"/>
          <w:sz w:val="28"/>
          <w:szCs w:val="28"/>
          <w14:ligatures w14:val="none"/>
        </w:rPr>
        <w:suppressLineNumbers w:val="0"/>
      </w:pPr>
      <w:r>
        <w:rPr>
          <w:rFonts w:ascii="Times New Roman" w:hAnsi="Times New Roman" w:eastAsia="Calibri" w:cs="Times New Roman"/>
          <w:b w:val="0"/>
          <w:bCs w:val="0"/>
          <w:color w:val="000000"/>
          <w:sz w:val="28"/>
          <w:szCs w:val="28"/>
          <w:highlight w:val="none"/>
          <w:shd w:val="clear" w:color="ffffff" w:themeColor="background1" w:fill="ffffff" w:themeFill="background1"/>
        </w:rPr>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color w:val="000000"/>
          <w14:ligatures w14:val="none"/>
        </w:rPr>
      </w:pPr>
      <w:r>
        <w:rPr>
          <w:rFonts w:ascii="Times New Roman" w:hAnsi="Times New Roman" w:eastAsia="Calibri" w:cs="Times New Roman"/>
          <w:b/>
          <w:bCs/>
          <w:color w:val="000000"/>
          <w:sz w:val="28"/>
          <w:szCs w:val="28"/>
          <w:shd w:val="clear" w:color="ffffff" w:themeColor="background1" w:fill="ffffff" w:themeFill="background1"/>
        </w:rPr>
        <w:t xml:space="preserve">1. </w:t>
      </w:r>
      <w:r>
        <w:rPr>
          <w:rFonts w:ascii="Times New Roman" w:hAnsi="Times New Roman" w:eastAsia="Calibri" w:cs="Times New Roman"/>
          <w:b/>
          <w:bCs/>
          <w:color w:val="000000"/>
          <w:sz w:val="28"/>
          <w:szCs w:val="28"/>
          <w:shd w:val="clear" w:color="ffffff" w:themeColor="background1" w:fill="ffffff" w:themeFill="background1"/>
        </w:rPr>
        <w:t xml:space="preserve">Ф</w:t>
      </w:r>
      <w:r>
        <w:rPr>
          <w:rFonts w:ascii="Times New Roman" w:hAnsi="Times New Roman" w:eastAsia="Calibri" w:cs="Times New Roman"/>
          <w:b/>
          <w:bCs/>
          <w:color w:val="000000"/>
          <w:sz w:val="28"/>
          <w:szCs w:val="28"/>
          <w:shd w:val="clear" w:color="ffffff" w:themeColor="background1" w:fill="ffffff" w:themeFill="background1"/>
        </w:rPr>
        <w:t xml:space="preserve">едеральный закон от 28.02.2025 № 32-ФЗ «</w:t>
      </w:r>
      <w:r>
        <w:rPr>
          <w:rFonts w:ascii="Times New Roman" w:hAnsi="Times New Roman" w:eastAsia="Calibri" w:cs="Times New Roman"/>
          <w:b/>
          <w:bCs/>
          <w:color w:val="000000"/>
          <w:sz w:val="28"/>
          <w:szCs w:val="28"/>
          <w:shd w:val="clear" w:color="ffffff" w:themeColor="background1" w:fill="ffffff" w:themeFill="background1"/>
        </w:rPr>
        <w:t xml:space="preserve">О внесении изменений в</w:t>
      </w:r>
      <w:r>
        <w:rPr>
          <w:rFonts w:ascii="Times New Roman" w:hAnsi="Times New Roman" w:eastAsia="Calibri" w:cs="Times New Roman"/>
          <w:b/>
          <w:bCs/>
          <w:color w:val="000000"/>
          <w:sz w:val="28"/>
          <w:szCs w:val="28"/>
          <w:shd w:val="clear" w:color="ffffff" w:themeColor="background1" w:fill="ffffff" w:themeFill="background1"/>
        </w:rPr>
        <w:t xml:space="preserve"> статью 62 Федерального закона «</w:t>
      </w:r>
      <w:r>
        <w:rPr>
          <w:rFonts w:ascii="Times New Roman" w:hAnsi="Times New Roman" w:eastAsia="Calibri" w:cs="Times New Roman"/>
          <w:b/>
          <w:bCs/>
          <w:color w:val="000000"/>
          <w:sz w:val="28"/>
          <w:szCs w:val="28"/>
          <w:shd w:val="clear" w:color="ffffff" w:themeColor="background1" w:fill="ffffff" w:themeFill="background1"/>
        </w:rPr>
        <w:t xml:space="preserve">О государственной регистрации недвижимости</w:t>
      </w:r>
      <w:r>
        <w:rPr>
          <w:rFonts w:ascii="Times New Roman" w:hAnsi="Times New Roman" w:eastAsia="Calibri" w:cs="Times New Roman"/>
          <w:b/>
          <w:bCs/>
          <w:color w:val="000000"/>
          <w:sz w:val="28"/>
          <w:szCs w:val="28"/>
          <w:shd w:val="clear" w:color="ffffff" w:themeColor="background1" w:fill="ffffff" w:themeFill="background1"/>
        </w:rPr>
        <w:t xml:space="preserve">».</w:t>
      </w:r>
      <w:r>
        <w:rPr>
          <w:rFonts w:ascii="Times New Roman" w:hAnsi="Times New Roman" w:eastAsia="Calibri" w:cs="Times New Roman"/>
          <w:b/>
          <w:color w:val="000000"/>
          <w14:ligatures w14:val="none"/>
        </w:rPr>
      </w:r>
      <w:r>
        <w:rPr>
          <w:rFonts w:ascii="Times New Roman" w:hAnsi="Times New Roman" w:eastAsia="Calibri" w:cs="Times New Roman"/>
          <w:b/>
          <w:color w:val="000000"/>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t xml:space="preserve">В отношении запросов Росфинмониторинга о предоставлении содержащихся в ЕГРН сведений об объекте недвижимости информирование правообладателя такого объекта осуществляться не будет</w:t>
      </w:r>
      <w:r>
        <w:rPr>
          <w:rFonts w:ascii="Times New Roman" w:hAnsi="Times New Roman" w:eastAsia="Calibri" w:cs="Times New Roman"/>
          <w:b w:val="0"/>
          <w:bCs w:val="0"/>
          <w:color w:val="000000"/>
          <w:sz w:val="28"/>
          <w:szCs w:val="28"/>
          <w:shd w:val="clear" w:color="ffffff" w:themeColor="background1" w:fill="ffffff" w:themeFill="background1"/>
        </w:rPr>
        <w:t xml:space="preserve">.</w:t>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t xml:space="preserve">В настоящее время по запросу правообладателя ему предоставляется информация о лицах, получивших сведения об объекте недвижимого имущества, прав</w:t>
      </w:r>
      <w:r>
        <w:rPr>
          <w:rFonts w:ascii="Times New Roman" w:hAnsi="Times New Roman" w:eastAsia="Calibri" w:cs="Times New Roman"/>
          <w:b w:val="0"/>
          <w:bCs w:val="0"/>
          <w:color w:val="000000"/>
          <w:sz w:val="28"/>
          <w:szCs w:val="28"/>
          <w:shd w:val="clear" w:color="ffffff" w:themeColor="background1" w:fill="ffffff" w:themeFill="background1"/>
        </w:rPr>
        <w:t xml:space="preserve">а на который у него зарегистрированы (за исключением случаев получения таких сведений органами, осуществляющими в установленном федеральным законом порядке оперативно-розыскную деятельность). Также собственник объекта недвижимости уведомляется о поступлени</w:t>
      </w:r>
      <w:r>
        <w:rPr>
          <w:rFonts w:ascii="Times New Roman" w:hAnsi="Times New Roman" w:eastAsia="Calibri" w:cs="Times New Roman"/>
          <w:b w:val="0"/>
          <w:bCs w:val="0"/>
          <w:color w:val="000000"/>
          <w:sz w:val="28"/>
          <w:szCs w:val="28"/>
          <w:shd w:val="clear" w:color="ffffff" w:themeColor="background1" w:fill="ffffff" w:themeFill="background1"/>
        </w:rPr>
        <w:t xml:space="preserve">и в публично-правовую компанию «Роскадастр»</w:t>
      </w:r>
      <w:r>
        <w:rPr>
          <w:rFonts w:ascii="Times New Roman" w:hAnsi="Times New Roman" w:eastAsia="Calibri" w:cs="Times New Roman"/>
          <w:b w:val="0"/>
          <w:bCs w:val="0"/>
          <w:color w:val="000000"/>
          <w:sz w:val="28"/>
          <w:szCs w:val="28"/>
          <w:shd w:val="clear" w:color="ffffff" w:themeColor="background1" w:fill="ffffff" w:themeFill="background1"/>
        </w:rPr>
        <w:t xml:space="preserve"> аналогич</w:t>
      </w:r>
      <w:r>
        <w:rPr>
          <w:rFonts w:ascii="Times New Roman" w:hAnsi="Times New Roman" w:eastAsia="Calibri" w:cs="Times New Roman"/>
          <w:b w:val="0"/>
          <w:bCs w:val="0"/>
          <w:color w:val="000000"/>
          <w:sz w:val="28"/>
          <w:szCs w:val="28"/>
          <w:shd w:val="clear" w:color="ffffff" w:themeColor="background1" w:fill="ffffff" w:themeFill="background1"/>
        </w:rPr>
        <w:t xml:space="preserve">ного запроса о предоставлении сведений, содержащихся в Едином государственном реестре недвижимости (за исключением случаев поступления таких запросов от органов, осуществляющих в установленном федеральным законом порядке оперативно-розыскную деятельность).</w:t>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t xml:space="preserve">Внесенными изменениями указанные исключения распространены в том числе на Росфинмониторинг и его территориальные </w:t>
      </w:r>
      <w:r>
        <w:rPr>
          <w:rFonts w:ascii="Times New Roman" w:hAnsi="Times New Roman" w:eastAsia="Calibri" w:cs="Times New Roman"/>
          <w:b w:val="0"/>
          <w:bCs w:val="0"/>
          <w:color w:val="000000"/>
          <w:sz w:val="28"/>
          <w:szCs w:val="28"/>
          <w:shd w:val="clear" w:color="ffffff" w:themeColor="background1" w:fill="ffffff" w:themeFill="background1"/>
        </w:rPr>
        <w:t xml:space="preserve">органы в связи с проводимой ими проверкой в целях выявления операций (сделок), связанных с легализацией (отмыванием) доходов, полученных преступным путем, или с финансированием терроризма, или с финансированием распространения оружия массового уничтожения.</w:t>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t xml:space="preserve">Настоящий Федеральный закон вступает в силу по истечении тридцати дней после дня его официального опубликования.</w:t>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bCs/>
          <w:color w:val="000000"/>
          <w:sz w:val="28"/>
          <w:szCs w:val="28"/>
          <w14:ligatures w14:val="none"/>
        </w:rPr>
      </w:pPr>
      <w:r>
        <w:rPr>
          <w:rFonts w:ascii="Times New Roman" w:hAnsi="Times New Roman" w:eastAsia="Calibri" w:cs="Times New Roman"/>
          <w:b/>
          <w:bCs/>
          <w:color w:val="000000"/>
          <w:sz w:val="28"/>
          <w:szCs w:val="28"/>
          <w:shd w:val="clear" w:color="ffffff" w:themeColor="background1" w:fill="ffffff" w:themeFill="background1"/>
        </w:rPr>
      </w:r>
      <w:r>
        <w:rPr>
          <w:rFonts w:ascii="Times New Roman" w:hAnsi="Times New Roman" w:eastAsia="Calibri" w:cs="Times New Roman"/>
          <w:b/>
          <w:bCs/>
          <w:color w:val="000000"/>
          <w:sz w:val="28"/>
          <w:szCs w:val="28"/>
          <w14:ligatures w14:val="none"/>
        </w:rPr>
      </w:r>
      <w:r>
        <w:rPr>
          <w:rFonts w:ascii="Times New Roman" w:hAnsi="Times New Roman" w:eastAsia="Calibri" w:cs="Times New Roman"/>
          <w:b/>
          <w:bCs/>
          <w:color w:val="000000"/>
          <w:sz w:val="28"/>
          <w:szCs w:val="28"/>
          <w14:ligatures w14:val="none"/>
        </w:rPr>
      </w:r>
    </w:p>
    <w:p>
      <w:pPr>
        <w:contextualSpacing/>
        <w:ind w:firstLine="708"/>
        <w:jc w:val="both"/>
        <w:rPr>
          <w:rFonts w:ascii="Times New Roman" w:hAnsi="Times New Roman" w:eastAsia="Calibri" w:cs="Times New Roman"/>
          <w:b/>
          <w:color w:val="000000"/>
          <w14:ligatures w14:val="none"/>
        </w:rPr>
      </w:pPr>
      <w:r>
        <w:rPr>
          <w:rFonts w:ascii="Times New Roman" w:hAnsi="Times New Roman" w:eastAsia="Calibri" w:cs="Times New Roman"/>
          <w:b/>
          <w:bCs/>
          <w:color w:val="000000"/>
          <w:sz w:val="28"/>
          <w:szCs w:val="28"/>
          <w:shd w:val="clear" w:color="ffffff" w:themeColor="background1" w:fill="ffffff" w:themeFill="background1"/>
        </w:rPr>
      </w:r>
      <w:r>
        <w:rPr>
          <w:rFonts w:ascii="Times New Roman" w:hAnsi="Times New Roman" w:eastAsia="Calibri" w:cs="Times New Roman"/>
          <w:b/>
          <w:bCs/>
          <w:color w:val="000000"/>
          <w:sz w:val="28"/>
          <w:szCs w:val="28"/>
          <w:shd w:val="clear" w:color="ffffff" w:themeColor="background1" w:fill="ffffff" w:themeFill="background1"/>
        </w:rPr>
        <w:t xml:space="preserve">2. Федеральный закон от 27.02.2025 № 10-ФЗ «О внесении изменений в статьи 21 и 70 Федерального закона «О государственной регистрации недвижимости».</w:t>
      </w:r>
      <w:r>
        <w:rPr>
          <w:rFonts w:ascii="Times New Roman" w:hAnsi="Times New Roman" w:eastAsia="Calibri" w:cs="Times New Roman"/>
          <w:b/>
          <w:color w:val="000000"/>
          <w14:ligatures w14:val="none"/>
        </w:rPr>
      </w:r>
      <w:r>
        <w:rPr>
          <w:rFonts w:ascii="Times New Roman" w:hAnsi="Times New Roman" w:eastAsia="Calibri" w:cs="Times New Roman"/>
          <w:b/>
          <w:color w:val="000000"/>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t xml:space="preserve">Установлены особенности осуществления государственного кадастрового учета и госрегистрации прав на объекты недвижимости в отношении лиц, пострадавших в результате боевых действий и (или) в связи с наступлением ЧС.</w:t>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t xml:space="preserve">Согласно закону положения пунктов 21.1 и 21.2 части 1 статьи 26, части 5.1, пунктов 8 и 9 части 8 статьи 69 Федерального закона «О государственной регистрации недвижимости» не применяются в случае осуществления государственного кадастрово</w:t>
      </w:r>
      <w:r>
        <w:rPr>
          <w:rFonts w:ascii="Times New Roman" w:hAnsi="Times New Roman" w:eastAsia="Calibri" w:cs="Times New Roman"/>
          <w:b w:val="0"/>
          <w:bCs w:val="0"/>
          <w:color w:val="000000"/>
          <w:sz w:val="28"/>
          <w:szCs w:val="28"/>
          <w:shd w:val="clear" w:color="ffffff" w:themeColor="background1" w:fill="ffffff" w:themeFill="background1"/>
        </w:rPr>
        <w:t xml:space="preserve">го учета, государственной регистрации прав, внесения в ЕГРН сведений о ранее учтенном объекте недвижимости, осуществляемых в целях оказания мер поддержки лицам, пострадавшим в результате боевых действий и (или) в связи с наступлением чрезвычайной ситуации.</w:t>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t xml:space="preserve">Федеральный закон вступает в силу с 1 марта 2025 года.</w:t>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rFonts w:ascii="Times New Roman" w:hAnsi="Times New Roman" w:eastAsia="Calibri" w:cs="Times New Roman"/>
          <w:b w:val="0"/>
          <w:bCs w:val="0"/>
          <w:color w:val="000000"/>
          <w:sz w:val="28"/>
          <w:szCs w:val="28"/>
          <w14:ligatures w14:val="none"/>
        </w:rPr>
      </w:pPr>
      <w:r>
        <w:rPr>
          <w:b/>
          <w:highlight w:val="none"/>
        </w:rPr>
      </w:r>
      <w:r>
        <w:rPr>
          <w:rFonts w:ascii="Times New Roman" w:hAnsi="Times New Roman" w:eastAsia="Calibri" w:cs="Times New Roman"/>
          <w:b w:val="0"/>
          <w:bCs w:val="0"/>
          <w:color w:val="000000"/>
          <w:sz w:val="28"/>
          <w:szCs w:val="28"/>
          <w14:ligatures w14:val="none"/>
        </w:rPr>
      </w:r>
      <w:r>
        <w:rPr>
          <w:rFonts w:ascii="Times New Roman" w:hAnsi="Times New Roman" w:eastAsia="Calibri" w:cs="Times New Roman"/>
          <w:b w:val="0"/>
          <w:bCs w:val="0"/>
          <w:color w:val="000000"/>
          <w:sz w:val="28"/>
          <w:szCs w:val="28"/>
          <w14:ligatures w14:val="none"/>
        </w:rPr>
      </w:r>
    </w:p>
    <w:p>
      <w:pPr>
        <w:contextualSpacing/>
        <w:ind w:firstLine="708"/>
        <w:jc w:val="both"/>
        <w:rPr>
          <w:b/>
          <w:bCs/>
          <w:highlight w:val="none"/>
          <w14:ligatures w14:val="none"/>
        </w:rPr>
      </w:pPr>
      <w:r>
        <w:rPr>
          <w:rFonts w:ascii="Times New Roman" w:hAnsi="Times New Roman" w:eastAsia="Calibri" w:cs="Times New Roman"/>
          <w:b w:val="0"/>
          <w:bCs w:val="0"/>
          <w:color w:val="000000"/>
          <w:sz w:val="28"/>
          <w:szCs w:val="28"/>
          <w:shd w:val="clear" w:color="ffffff" w:themeColor="background1" w:fill="ffffff" w:themeFill="background1"/>
        </w:rPr>
      </w:r>
      <w:r>
        <w:rPr>
          <w:b/>
        </w:rPr>
        <w:t xml:space="preserve">3. Федеральный закон «О внесении изменений в Земельный кодекс Российской Федерации и статью 3 Федерального закона «О внесении </w:t>
      </w:r>
      <w:r>
        <w:rPr>
          <w:b/>
        </w:rPr>
        <w:t xml:space="preserve">изменений в Земельный кодекс Российской Федерации и признании утратившей силу части 7 статьи 34 Федерального закона «О внесении изменений в Земельный кодекс Российской Федерации и отдельные законодате</w:t>
      </w:r>
      <w:r>
        <w:rPr>
          <w:b/>
        </w:rPr>
        <w:t xml:space="preserve">льные акты Российской Федерации» от 28.12.2024 № 538-ФЗ.</w:t>
      </w:r>
      <w:r>
        <w:rPr>
          <w:b/>
          <w:bCs/>
          <w:highlight w:val="none"/>
          <w14:ligatures w14:val="none"/>
        </w:rPr>
      </w:r>
      <w:r>
        <w:rPr>
          <w:b/>
          <w:bCs/>
          <w:highlight w:val="none"/>
          <w14:ligatures w14:val="none"/>
        </w:rPr>
      </w:r>
    </w:p>
    <w:p>
      <w:pPr>
        <w:contextualSpacing/>
        <w:ind w:firstLine="652"/>
        <w:jc w:val="both"/>
        <w:spacing w:after="0" w:afterAutospacing="0"/>
        <w:rPr>
          <w:rFonts w:ascii="Times New Roman" w:hAnsi="Times New Roman" w:eastAsia="Calibri"/>
          <w:b w:val="0"/>
          <w:bCs w:val="0"/>
          <w:sz w:val="28"/>
          <w:szCs w:val="28"/>
        </w:rPr>
        <w:suppressLineNumbers w:val="0"/>
      </w:pPr>
      <w:r>
        <w:rPr>
          <w:b/>
        </w:rPr>
      </w:r>
      <w:r>
        <w:rPr>
          <w:rFonts w:ascii="Times New Roman" w:hAnsi="Times New Roman" w:eastAsia="Calibri"/>
          <w:b w:val="0"/>
          <w:bCs w:val="0"/>
          <w:sz w:val="28"/>
          <w:szCs w:val="28"/>
          <w:lang w:val="ru-RU"/>
        </w:rPr>
        <w:t xml:space="preserve">С 1 марта уточнен порядок проведения торгов по продаже или предоста</w:t>
      </w:r>
      <w:r>
        <w:rPr>
          <w:rFonts w:ascii="Times New Roman" w:hAnsi="Times New Roman" w:eastAsia="Calibri"/>
          <w:b w:val="0"/>
          <w:bCs w:val="0"/>
          <w:sz w:val="28"/>
          <w:szCs w:val="28"/>
          <w:lang w:val="ru-RU"/>
        </w:rPr>
        <w:t xml:space="preserve">влению в аренду публичных земель</w:t>
      </w:r>
      <w:r>
        <w:rPr>
          <w:rFonts w:ascii="Times New Roman" w:hAnsi="Times New Roman" w:eastAsia="Calibri"/>
          <w:b w:val="0"/>
          <w:bCs w:val="0"/>
          <w:sz w:val="28"/>
          <w:szCs w:val="28"/>
          <w:lang w:val="ru-RU"/>
        </w:rPr>
        <w:t xml:space="preserve">.</w:t>
      </w:r>
      <w:r>
        <w:rPr>
          <w:rFonts w:ascii="Times New Roman" w:hAnsi="Times New Roman" w:eastAsia="Calibri"/>
          <w:b w:val="0"/>
          <w:bCs w:val="0"/>
          <w:sz w:val="28"/>
          <w:szCs w:val="28"/>
        </w:rPr>
      </w:r>
      <w:r>
        <w:rPr>
          <w:rFonts w:ascii="Times New Roman" w:hAnsi="Times New Roman" w:eastAsia="Calibri"/>
          <w:b w:val="0"/>
          <w:bCs w:val="0"/>
          <w:sz w:val="28"/>
          <w:szCs w:val="28"/>
        </w:rPr>
      </w:r>
    </w:p>
    <w:p>
      <w:pPr>
        <w:contextualSpacing/>
        <w:ind w:firstLine="652"/>
        <w:jc w:val="both"/>
        <w:spacing w:after="0" w:afterAutospacing="0"/>
        <w:rPr>
          <w:b w:val="0"/>
          <w:bCs w:val="0"/>
        </w:rPr>
        <w:suppressLineNumbers w:val="0"/>
      </w:pPr>
      <w:r>
        <w:rPr>
          <w:rFonts w:ascii="Times New Roman" w:hAnsi="Times New Roman" w:eastAsia="Calibri"/>
          <w:b w:val="0"/>
          <w:bCs w:val="0"/>
          <w:sz w:val="28"/>
          <w:szCs w:val="28"/>
          <w:lang w:val="ru-RU"/>
        </w:rPr>
      </w:r>
      <w:r>
        <w:rPr>
          <w:rFonts w:eastAsia="Calibri"/>
          <w:b w:val="0"/>
          <w:bCs w:val="0"/>
          <w:sz w:val="28"/>
          <w:szCs w:val="28"/>
          <w:lang w:eastAsia="en-US"/>
        </w:rPr>
        <w:t xml:space="preserve">Срок проверки оснований, при которых земельный участок не может быть предметом аукциона, </w:t>
      </w:r>
      <w:r>
        <w:rPr>
          <w:rFonts w:eastAsia="Calibri"/>
          <w:b w:val="0"/>
          <w:bCs w:val="0"/>
          <w:sz w:val="28"/>
          <w:szCs w:val="28"/>
          <w:lang w:eastAsia="en-US"/>
        </w:rPr>
        <w:fldChar w:fldCharType="begin"/>
      </w:r>
      <w:r>
        <w:rPr>
          <w:rFonts w:eastAsia="Calibri"/>
          <w:b w:val="0"/>
          <w:bCs w:val="0"/>
          <w:sz w:val="28"/>
          <w:szCs w:val="28"/>
          <w:lang w:eastAsia="en-US"/>
        </w:rPr>
        <w:instrText xml:space="preserve"> HYPERLIN</w:instrText>
      </w:r>
      <w:r>
        <w:rPr>
          <w:rFonts w:eastAsia="Calibri"/>
          <w:b w:val="0"/>
          <w:bCs w:val="0"/>
          <w:sz w:val="28"/>
          <w:szCs w:val="28"/>
          <w:lang w:eastAsia="en-US"/>
        </w:rPr>
        <w:instrText xml:space="preserve">K "https://newsletters.consultant.ru/go/?letter_id=2563&amp;url=https%3A%2F%2Flogin.consultant.ru%2Flink%2F%3Freq%3Ddoc%26base%3DLAW%26n%3D493606%26dst%3D105738%26send%3D1%26email_id%3D247660%26cn%3D2563%3Aconstruction%3Ajurist&amp;scope=construction" \t "_blank" </w:instrText>
      </w:r>
      <w:r>
        <w:rPr>
          <w:rFonts w:eastAsia="Calibri"/>
          <w:b w:val="0"/>
          <w:bCs w:val="0"/>
          <w:sz w:val="28"/>
          <w:szCs w:val="28"/>
          <w:lang w:eastAsia="en-US"/>
        </w:rPr>
        <w:fldChar w:fldCharType="separate"/>
      </w:r>
      <w:r>
        <w:rPr>
          <w:rFonts w:eastAsia="Calibri"/>
          <w:b w:val="0"/>
          <w:bCs w:val="0"/>
          <w:sz w:val="28"/>
          <w:szCs w:val="28"/>
          <w:lang w:eastAsia="en-US"/>
        </w:rPr>
        <w:t xml:space="preserve">сокращен</w:t>
      </w:r>
      <w:r>
        <w:rPr>
          <w:rFonts w:eastAsia="Calibri"/>
          <w:b w:val="0"/>
          <w:bCs w:val="0"/>
          <w:sz w:val="28"/>
          <w:szCs w:val="28"/>
          <w:lang w:eastAsia="en-US"/>
        </w:rPr>
        <w:fldChar w:fldCharType="end"/>
      </w:r>
      <w:r>
        <w:rPr>
          <w:rFonts w:eastAsia="Calibri"/>
          <w:b w:val="0"/>
          <w:bCs w:val="0"/>
          <w:sz w:val="28"/>
          <w:szCs w:val="28"/>
          <w:lang w:eastAsia="en-US"/>
        </w:rPr>
        <w:t xml:space="preserve"> с 2 месяцев до 30 дней.</w:t>
      </w:r>
      <w:r>
        <w:rPr>
          <w:b w:val="0"/>
          <w:bCs w:val="0"/>
        </w:rPr>
      </w:r>
      <w:r>
        <w:rPr>
          <w:b w:val="0"/>
          <w:bCs w:val="0"/>
        </w:rPr>
      </w:r>
    </w:p>
    <w:p>
      <w:pPr>
        <w:pStyle w:val="1004"/>
        <w:ind w:firstLine="652"/>
        <w:jc w:val="both"/>
        <w:spacing w:before="0" w:beforeAutospacing="0" w:after="0" w:afterAutospacing="0"/>
        <w:shd w:val="clear" w:color="auto" w:fill="ffffff"/>
        <w:rPr>
          <w:rFonts w:eastAsia="Calibri"/>
          <w:sz w:val="28"/>
          <w:szCs w:val="28"/>
        </w:rPr>
        <w:suppressLineNumbers w:val="0"/>
      </w:pPr>
      <w:r>
        <w:rPr>
          <w:rFonts w:eastAsia="Calibri"/>
          <w:sz w:val="28"/>
          <w:szCs w:val="28"/>
          <w:lang w:eastAsia="en-US"/>
        </w:rPr>
        <w:t xml:space="preserve">Срок размещения извещения о проведении аукциона </w:t>
      </w:r>
      <w:r>
        <w:rPr>
          <w:rFonts w:eastAsia="Calibri"/>
          <w:sz w:val="28"/>
          <w:szCs w:val="28"/>
          <w:lang w:eastAsia="en-US"/>
        </w:rPr>
        <w:fldChar w:fldCharType="begin"/>
      </w:r>
      <w:r>
        <w:rPr>
          <w:rFonts w:eastAsia="Calibri"/>
          <w:sz w:val="28"/>
          <w:szCs w:val="28"/>
          <w:lang w:eastAsia="en-US"/>
        </w:rPr>
        <w:instrText xml:space="preserve"> HYPERL</w:instrText>
      </w:r>
      <w:r>
        <w:rPr>
          <w:rFonts w:eastAsia="Calibri"/>
          <w:sz w:val="28"/>
          <w:szCs w:val="28"/>
          <w:lang w:eastAsia="en-US"/>
        </w:rPr>
        <w:instrText xml:space="preserve">INK "https://newsletters.consultant.ru/go/?letter_id=2563&amp;url=https%3A%2F%2Flogin.consultant.ru%2Flink%2F%3Freq%3Ddoc%26base%3DLAW%26n%3D483141%26dst%3D2761%26send%3D1%26email_id%3D247660%26cn%3D2563%3Aconstruction%3Ajurist&amp;scope=construction" \t "_blank" </w:instrText>
      </w:r>
      <w:r>
        <w:rPr>
          <w:rFonts w:eastAsia="Calibri"/>
          <w:sz w:val="28"/>
          <w:szCs w:val="28"/>
          <w:lang w:eastAsia="en-US"/>
        </w:rPr>
        <w:fldChar w:fldCharType="separate"/>
      </w:r>
      <w:r>
        <w:rPr>
          <w:rFonts w:eastAsia="Calibri"/>
          <w:sz w:val="28"/>
          <w:szCs w:val="28"/>
          <w:lang w:eastAsia="en-US"/>
        </w:rPr>
        <w:t xml:space="preserve">сокращен</w:t>
      </w:r>
      <w:r>
        <w:rPr>
          <w:rFonts w:eastAsia="Calibri"/>
          <w:sz w:val="28"/>
          <w:szCs w:val="28"/>
          <w:lang w:eastAsia="en-US"/>
        </w:rPr>
        <w:fldChar w:fldCharType="end"/>
      </w:r>
      <w:r>
        <w:rPr>
          <w:rFonts w:eastAsia="Calibri"/>
          <w:sz w:val="28"/>
          <w:szCs w:val="28"/>
          <w:lang w:eastAsia="en-US"/>
        </w:rPr>
        <w:t xml:space="preserve"> с 30 дней до 10 рабочих дней до даты проведения аукциона.</w:t>
      </w:r>
      <w:r>
        <w:rPr>
          <w:rFonts w:eastAsia="Calibri"/>
          <w:sz w:val="28"/>
          <w:szCs w:val="28"/>
        </w:rPr>
      </w:r>
      <w:r>
        <w:rPr>
          <w:rFonts w:eastAsia="Calibri"/>
          <w:sz w:val="28"/>
          <w:szCs w:val="28"/>
        </w:rPr>
      </w:r>
    </w:p>
    <w:p>
      <w:pPr>
        <w:pStyle w:val="1004"/>
        <w:ind w:firstLine="652"/>
        <w:jc w:val="both"/>
        <w:spacing w:before="0" w:beforeAutospacing="0" w:after="0" w:afterAutospacing="0"/>
        <w:shd w:val="clear" w:color="auto" w:fill="ffffff"/>
        <w:rPr>
          <w:rFonts w:eastAsia="Calibri"/>
          <w:sz w:val="28"/>
          <w:szCs w:val="28"/>
        </w:rPr>
        <w:suppressLineNumbers w:val="0"/>
      </w:pPr>
      <w:r>
        <w:rPr>
          <w:rFonts w:eastAsia="Calibri"/>
          <w:sz w:val="28"/>
          <w:szCs w:val="28"/>
          <w:lang w:eastAsia="en-US"/>
        </w:rPr>
        <w:t xml:space="preserve">С 5 дней до 3 рабочих дней до дня проведения аукциона </w:t>
      </w:r>
      <w:r>
        <w:rPr>
          <w:rFonts w:eastAsia="Calibri"/>
          <w:sz w:val="28"/>
          <w:szCs w:val="28"/>
          <w:lang w:eastAsia="en-US"/>
        </w:rPr>
        <w:fldChar w:fldCharType="begin"/>
      </w:r>
      <w:r>
        <w:rPr>
          <w:rFonts w:eastAsia="Calibri"/>
          <w:sz w:val="28"/>
          <w:szCs w:val="28"/>
          <w:lang w:eastAsia="en-US"/>
        </w:rPr>
        <w:instrText xml:space="preserve"> HYPERL</w:instrText>
      </w:r>
      <w:r>
        <w:rPr>
          <w:rFonts w:eastAsia="Calibri"/>
          <w:sz w:val="28"/>
          <w:szCs w:val="28"/>
          <w:lang w:eastAsia="en-US"/>
        </w:rPr>
        <w:instrText xml:space="preserve">INK "https://newsletters.consultant.ru/go/?letter_id=2563&amp;url=https%3A%2F%2Flogin.consultant.ru%2Flink%2F%3Freq%3Ddoc%26base%3DLAW%26n%3D483141%26dst%3D2768%26send%3D1%26email_id%3D247660%26cn%3D2563%3Aconstruction%3Ajurist&amp;scope=construction" \t "_blank" </w:instrText>
      </w:r>
      <w:r>
        <w:rPr>
          <w:rFonts w:eastAsia="Calibri"/>
          <w:sz w:val="28"/>
          <w:szCs w:val="28"/>
          <w:lang w:eastAsia="en-US"/>
        </w:rPr>
        <w:fldChar w:fldCharType="separate"/>
      </w:r>
      <w:r>
        <w:rPr>
          <w:rFonts w:eastAsia="Calibri"/>
          <w:sz w:val="28"/>
          <w:szCs w:val="28"/>
          <w:lang w:eastAsia="en-US"/>
        </w:rPr>
        <w:t xml:space="preserve">сокращен</w:t>
      </w:r>
      <w:r>
        <w:rPr>
          <w:rFonts w:eastAsia="Calibri"/>
          <w:sz w:val="28"/>
          <w:szCs w:val="28"/>
          <w:lang w:eastAsia="en-US"/>
        </w:rPr>
        <w:fldChar w:fldCharType="end"/>
      </w:r>
      <w:r>
        <w:rPr>
          <w:rFonts w:eastAsia="Calibri"/>
          <w:sz w:val="28"/>
          <w:szCs w:val="28"/>
          <w:lang w:eastAsia="en-US"/>
        </w:rPr>
        <w:t xml:space="preserve"> срок приема документов.</w:t>
      </w:r>
      <w:r>
        <w:rPr>
          <w:rFonts w:eastAsia="Calibri"/>
          <w:sz w:val="28"/>
          <w:szCs w:val="28"/>
        </w:rPr>
      </w:r>
      <w:r>
        <w:rPr>
          <w:rFonts w:eastAsia="Calibri"/>
          <w:sz w:val="28"/>
          <w:szCs w:val="28"/>
        </w:rPr>
      </w:r>
    </w:p>
    <w:p>
      <w:pPr>
        <w:pStyle w:val="1004"/>
        <w:ind w:firstLine="652"/>
        <w:jc w:val="both"/>
        <w:spacing w:before="0" w:beforeAutospacing="0" w:after="0" w:afterAutospacing="0"/>
        <w:shd w:val="clear" w:color="auto" w:fill="ffffff"/>
        <w:rPr>
          <w:rFonts w:eastAsia="Calibri"/>
          <w:sz w:val="28"/>
          <w:szCs w:val="28"/>
        </w:rPr>
        <w:suppressLineNumbers w:val="0"/>
      </w:pPr>
      <w:r>
        <w:rPr>
          <w:rFonts w:eastAsia="Calibri"/>
          <w:sz w:val="28"/>
          <w:szCs w:val="28"/>
          <w:lang w:eastAsia="en-US"/>
        </w:rPr>
        <w:t xml:space="preserve">С 30 дней до 10 рабочих дней </w:t>
      </w:r>
      <w:r>
        <w:rPr>
          <w:rFonts w:eastAsia="Calibri"/>
          <w:sz w:val="28"/>
          <w:szCs w:val="28"/>
          <w:lang w:eastAsia="en-US"/>
        </w:rPr>
        <w:fldChar w:fldCharType="begin"/>
      </w:r>
      <w:r>
        <w:rPr>
          <w:rFonts w:eastAsia="Calibri"/>
          <w:sz w:val="28"/>
          <w:szCs w:val="28"/>
          <w:lang w:eastAsia="en-US"/>
        </w:rPr>
        <w:instrText xml:space="preserve"> HYPERL</w:instrText>
      </w:r>
      <w:r>
        <w:rPr>
          <w:rFonts w:eastAsia="Calibri"/>
          <w:sz w:val="28"/>
          <w:szCs w:val="28"/>
          <w:lang w:eastAsia="en-US"/>
        </w:rPr>
        <w:instrText xml:space="preserve">INK "https://newsletters.consultant.ru/go/?letter_id=2563&amp;url=https%3A%2F%2Flogin.consultant.ru%2Flink%2F%3Freq%3Ddoc%26base%3DLAW%26n%3D483141%26dst%3D2780%26send%3D1%26email_id%3D247660%26cn%3D2563%3Aconstruction%3Ajurist&amp;scope=construction" \t "_blank" </w:instrText>
      </w:r>
      <w:r>
        <w:rPr>
          <w:rFonts w:eastAsia="Calibri"/>
          <w:sz w:val="28"/>
          <w:szCs w:val="28"/>
          <w:lang w:eastAsia="en-US"/>
        </w:rPr>
        <w:fldChar w:fldCharType="separate"/>
      </w:r>
      <w:r>
        <w:rPr>
          <w:rFonts w:eastAsia="Calibri"/>
          <w:sz w:val="28"/>
          <w:szCs w:val="28"/>
          <w:lang w:eastAsia="en-US"/>
        </w:rPr>
        <w:t xml:space="preserve">сокращен</w:t>
      </w:r>
      <w:r>
        <w:rPr>
          <w:rFonts w:eastAsia="Calibri"/>
          <w:sz w:val="28"/>
          <w:szCs w:val="28"/>
          <w:lang w:eastAsia="en-US"/>
        </w:rPr>
        <w:fldChar w:fldCharType="end"/>
      </w:r>
      <w:r>
        <w:rPr>
          <w:rFonts w:eastAsia="Calibri"/>
          <w:sz w:val="28"/>
          <w:szCs w:val="28"/>
          <w:lang w:eastAsia="en-US"/>
        </w:rPr>
        <w:t xml:space="preserve"> срок подписания договора купли-продажи или аренды земельного участка.</w:t>
      </w:r>
      <w:r>
        <w:rPr>
          <w:rFonts w:eastAsia="Calibri"/>
          <w:sz w:val="28"/>
          <w:szCs w:val="28"/>
        </w:rPr>
      </w:r>
      <w:r>
        <w:rPr>
          <w:rFonts w:eastAsia="Calibri"/>
          <w:sz w:val="28"/>
          <w:szCs w:val="28"/>
        </w:rPr>
      </w:r>
    </w:p>
    <w:p>
      <w:pPr>
        <w:pStyle w:val="1004"/>
        <w:ind w:firstLine="652"/>
        <w:jc w:val="both"/>
        <w:spacing w:before="0" w:beforeAutospacing="0" w:after="0" w:afterAutospacing="0"/>
        <w:shd w:val="clear" w:color="auto" w:fill="ffffff"/>
        <w:rPr>
          <w:rFonts w:eastAsia="Calibri"/>
          <w:sz w:val="28"/>
          <w:szCs w:val="28"/>
          <w:highlight w:val="none"/>
          <w:lang w:eastAsia="en-US"/>
        </w:rPr>
        <w:suppressLineNumbers w:val="0"/>
      </w:pPr>
      <w:r>
        <w:rPr>
          <w:rFonts w:eastAsia="Calibri"/>
          <w:sz w:val="28"/>
          <w:szCs w:val="28"/>
          <w:lang w:eastAsia="en-US"/>
        </w:rPr>
        <w:t xml:space="preserve">Если извещение о проведении аукциона размещено до 1 марта, проведение такого аукциона и</w:t>
      </w:r>
      <w:r>
        <w:rPr>
          <w:rFonts w:eastAsia="Calibri"/>
          <w:sz w:val="28"/>
          <w:szCs w:val="28"/>
          <w:lang w:eastAsia="en-US"/>
        </w:rPr>
        <w:t xml:space="preserve"> предоставление таких земельных участков </w:t>
      </w:r>
      <w:r>
        <w:rPr>
          <w:rFonts w:eastAsia="Calibri"/>
          <w:sz w:val="28"/>
          <w:szCs w:val="28"/>
          <w:lang w:eastAsia="en-US"/>
        </w:rPr>
        <w:fldChar w:fldCharType="begin"/>
      </w:r>
      <w:r>
        <w:rPr>
          <w:rFonts w:eastAsia="Calibri"/>
          <w:sz w:val="28"/>
          <w:szCs w:val="28"/>
          <w:lang w:eastAsia="en-US"/>
        </w:rPr>
        <w:instrText xml:space="preserve"> HYPERLIN</w:instrText>
      </w:r>
      <w:r>
        <w:rPr>
          <w:rFonts w:eastAsia="Calibri"/>
          <w:sz w:val="28"/>
          <w:szCs w:val="28"/>
          <w:lang w:eastAsia="en-US"/>
        </w:rPr>
        <w:instrText xml:space="preserve">K "https://newsletters.consultant.ru/go/?letter_id=2563&amp;url=https%3A%2F%2Flogin.consultant.ru%2Flink%2F%3Freq%3Ddoc%26base%3DLAW%26n%3D494828%26dst%3D100072%26send%3D1%26email_id%3D247660%26cn%3D2563%3Aconstruction%3Ajurist&amp;scope=construction" \t "_blank" </w:instrText>
      </w:r>
      <w:r>
        <w:rPr>
          <w:rFonts w:eastAsia="Calibri"/>
          <w:sz w:val="28"/>
          <w:szCs w:val="28"/>
          <w:lang w:eastAsia="en-US"/>
        </w:rPr>
        <w:fldChar w:fldCharType="separate"/>
      </w:r>
      <w:r>
        <w:rPr>
          <w:rFonts w:eastAsia="Calibri"/>
          <w:sz w:val="28"/>
          <w:szCs w:val="28"/>
          <w:lang w:eastAsia="en-US"/>
        </w:rPr>
        <w:t xml:space="preserve">осуществляются</w:t>
      </w:r>
      <w:r>
        <w:rPr>
          <w:rFonts w:eastAsia="Calibri"/>
          <w:sz w:val="28"/>
          <w:szCs w:val="28"/>
          <w:lang w:eastAsia="en-US"/>
        </w:rPr>
        <w:fldChar w:fldCharType="end"/>
      </w:r>
      <w:r>
        <w:rPr>
          <w:rFonts w:eastAsia="Calibri"/>
          <w:sz w:val="28"/>
          <w:szCs w:val="28"/>
          <w:lang w:eastAsia="en-US"/>
        </w:rPr>
        <w:t xml:space="preserve"> в прежнем порядке.</w:t>
      </w:r>
      <w:r>
        <w:rPr>
          <w:rFonts w:eastAsia="Calibri"/>
          <w:sz w:val="28"/>
          <w:szCs w:val="28"/>
          <w:highlight w:val="none"/>
          <w:lang w:eastAsia="en-US"/>
        </w:rPr>
      </w:r>
      <w:r>
        <w:rPr>
          <w:rFonts w:eastAsia="Calibri"/>
          <w:sz w:val="28"/>
          <w:szCs w:val="28"/>
          <w:highlight w:val="none"/>
          <w:lang w:eastAsia="en-US"/>
        </w:rPr>
      </w:r>
    </w:p>
    <w:p>
      <w:pPr>
        <w:ind w:left="0" w:right="0" w:firstLine="709"/>
        <w:rPr>
          <w:b/>
          <w:bCs/>
          <w14:ligatures w14:val="none"/>
        </w:rPr>
        <w:pBdr>
          <w:top w:val="none" w:color="000000" w:sz="4" w:space="0"/>
          <w:left w:val="none" w:color="000000" w:sz="4" w:space="0"/>
          <w:bottom w:val="none" w:color="000000" w:sz="4" w:space="0"/>
          <w:right w:val="none" w:color="000000" w:sz="4" w:space="0"/>
        </w:pBdr>
        <w:suppressLineNumbers w:val="0"/>
      </w:pPr>
      <w:r>
        <w:rPr>
          <w:b/>
          <w:bCs/>
          <w:lang w:eastAsia="en-US"/>
        </w:rPr>
      </w:r>
      <w:r>
        <w:rPr>
          <w:b/>
          <w:bCs/>
          <w14:ligatures w14:val="none"/>
        </w:rPr>
      </w:r>
      <w:r>
        <w:rPr>
          <w:b/>
          <w:bCs/>
          <w14:ligatures w14:val="none"/>
        </w:rPr>
      </w:r>
    </w:p>
    <w:p>
      <w:pPr>
        <w:pStyle w:val="954"/>
        <w:rPr>
          <w:b/>
        </w:rPr>
      </w:pPr>
      <w:r>
        <w:rPr>
          <w:rFonts w:ascii="Times New Roman" w:hAnsi="Times New Roman" w:eastAsia="Calibri" w:cs="Times New Roman"/>
          <w:b/>
          <w:bCs/>
          <w:color w:val="000000"/>
          <w:sz w:val="28"/>
          <w:szCs w:val="28"/>
          <w:shd w:val="clear" w:color="ffffff" w:themeColor="background1" w:fill="ffffff" w:themeFill="background1"/>
        </w:rPr>
      </w:r>
      <w:r>
        <w:rPr>
          <w:b/>
        </w:rPr>
        <w:t xml:space="preserve">4. </w:t>
      </w:r>
      <w:r>
        <w:rPr>
          <w:b/>
        </w:rPr>
        <w:fldChar w:fldCharType="begin"/>
      </w:r>
      <w:r>
        <w:rPr>
          <w:b/>
        </w:rPr>
        <w:instrText xml:space="preserve"> HYPERLINK "https://www.consultant.ru/document/cons_doc_LAW_498864/" </w:instrText>
      </w:r>
      <w:r>
        <w:rPr>
          <w:b/>
        </w:rPr>
        <w:fldChar w:fldCharType="separate"/>
      </w:r>
      <w:r>
        <w:rPr>
          <w:b/>
        </w:rPr>
        <w:t xml:space="preserve">Постановление Правительства РФ от 15.02.2025 № 168 </w:t>
      </w:r>
      <w:r>
        <w:rPr>
          <w:b/>
        </w:rPr>
        <w:t xml:space="preserve">«О внесении изменений в постановление Правительства Российской Федерации от 31 декабря 2015 г. № 1532».</w:t>
      </w:r>
      <w:r>
        <w:rPr>
          <w:b/>
        </w:rPr>
        <w:fldChar w:fldCharType="end"/>
      </w:r>
      <w:r>
        <w:rPr>
          <w:b/>
        </w:rPr>
      </w:r>
      <w:r>
        <w:rPr>
          <w:b/>
        </w:rPr>
      </w:r>
    </w:p>
    <w:p>
      <w:pPr>
        <w:pStyle w:val="954"/>
        <w:rPr>
          <w:b w:val="0"/>
          <w:bCs w:val="0"/>
        </w:rPr>
      </w:pPr>
      <w:r>
        <w:rPr>
          <w:b w:val="0"/>
          <w:bCs w:val="0"/>
        </w:rPr>
        <w:t xml:space="preserve">С 25 февраля уточняется порядок предоставления документов в Росреестр.</w:t>
      </w:r>
      <w:r>
        <w:rPr>
          <w:b w:val="0"/>
          <w:bCs w:val="0"/>
        </w:rPr>
      </w:r>
      <w:r>
        <w:rPr>
          <w:b w:val="0"/>
          <w:bCs w:val="0"/>
        </w:rPr>
      </w:r>
    </w:p>
    <w:p>
      <w:pPr>
        <w:pStyle w:val="954"/>
        <w:rPr>
          <w:b w:val="0"/>
          <w:bCs w:val="0"/>
        </w:rPr>
      </w:pPr>
      <w:r>
        <w:rPr>
          <w:b w:val="0"/>
          <w:bCs w:val="0"/>
        </w:rPr>
        <w:t xml:space="preserve">Обязательным приложением к направляемым в орган регистрации прав документам в связи с принятием решения об установлении или изменении границ муниципального образования является оформленная карта (план) объекта землеустройства.</w:t>
      </w:r>
      <w:r>
        <w:rPr>
          <w:b w:val="0"/>
          <w:bCs w:val="0"/>
        </w:rPr>
      </w:r>
      <w:r>
        <w:rPr>
          <w:b w:val="0"/>
          <w:bCs w:val="0"/>
        </w:rPr>
      </w:r>
    </w:p>
    <w:p>
      <w:pPr>
        <w:pStyle w:val="954"/>
        <w:rPr>
          <w:b w:val="0"/>
          <w:bCs w:val="0"/>
        </w:rPr>
      </w:pPr>
      <w:r>
        <w:rPr>
          <w:b w:val="0"/>
          <w:bCs w:val="0"/>
        </w:rPr>
        <w:t xml:space="preserve">Если документами, направляемыми в орган регистрации прав по некоторым основаниям, предусмотрено прекращение существования зоны с особыми условиями использования территорий, прекращение публичного сервитута, упразднение лесопаркового зеленого пояса ил</w:t>
      </w:r>
      <w:r>
        <w:rPr>
          <w:b w:val="0"/>
          <w:bCs w:val="0"/>
        </w:rPr>
        <w:t xml:space="preserve">и отмена решения о резервировании земель для государственных или муниципальных нужд, то предоставление графического описания местоположения границ таких зон, территорий, а также перечня координат характерных точек границ таких зон, территорий не требуется.</w:t>
      </w:r>
      <w:r>
        <w:rPr>
          <w:b w:val="0"/>
          <w:bCs w:val="0"/>
        </w:rPr>
      </w:r>
      <w:r>
        <w:rPr>
          <w:b w:val="0"/>
          <w:bCs w:val="0"/>
        </w:rPr>
      </w:r>
    </w:p>
    <w:p>
      <w:pPr>
        <w:pStyle w:val="954"/>
        <w:rPr>
          <w:b w:val="0"/>
          <w:bCs w:val="0"/>
        </w:rPr>
      </w:pPr>
      <w:r>
        <w:rPr>
          <w:b w:val="0"/>
          <w:bCs w:val="0"/>
        </w:rPr>
        <w:t xml:space="preserve">Исключена возможность представления в рамках информационного взаимодействия документов на электронных носителях при отсутствии технической возможности использовать Интернет.</w:t>
      </w:r>
      <w:r>
        <w:rPr>
          <w:b w:val="0"/>
          <w:bCs w:val="0"/>
        </w:rPr>
      </w:r>
      <w:r>
        <w:rPr>
          <w:b w:val="0"/>
          <w:bCs w:val="0"/>
        </w:rPr>
      </w:r>
    </w:p>
    <w:p>
      <w:pPr>
        <w:contextualSpacing/>
        <w:ind w:firstLine="708"/>
        <w:jc w:val="both"/>
        <w:rPr>
          <w:rFonts w:ascii="Times New Roman" w:hAnsi="Times New Roman" w:eastAsia="Calibri" w:cs="Times New Roman"/>
          <w:b w:val="0"/>
          <w:bCs w:val="0"/>
          <w:color w:val="000000"/>
          <w:sz w:val="28"/>
          <w:szCs w:val="28"/>
          <w:highlight w:val="none"/>
          <w14:ligatures w14:val="none"/>
        </w:rPr>
        <w:suppressLineNumbers w:val="0"/>
      </w:pPr>
      <w:r>
        <w:rPr>
          <w:rFonts w:ascii="Times New Roman" w:hAnsi="Times New Roman" w:eastAsia="Calibri" w:cs="Times New Roman"/>
          <w:b w:val="0"/>
          <w:bCs w:val="0"/>
          <w:color w:val="000000"/>
          <w:sz w:val="28"/>
          <w:szCs w:val="28"/>
          <w:highlight w:val="none"/>
          <w:shd w:val="clear" w:color="ffffff" w:themeColor="background1" w:fill="ffffff" w:themeFill="background1"/>
        </w:rPr>
      </w:r>
      <w:r>
        <w:rPr>
          <w:rFonts w:ascii="Times New Roman" w:hAnsi="Times New Roman" w:eastAsia="Calibri" w:cs="Times New Roman"/>
          <w:b w:val="0"/>
          <w:bCs w:val="0"/>
          <w:color w:val="000000"/>
          <w:sz w:val="28"/>
          <w:szCs w:val="28"/>
          <w:highlight w:val="none"/>
          <w14:ligatures w14:val="none"/>
        </w:rPr>
      </w:r>
      <w:r>
        <w:rPr>
          <w:rFonts w:ascii="Times New Roman" w:hAnsi="Times New Roman" w:eastAsia="Calibri" w:cs="Times New Roman"/>
          <w:b w:val="0"/>
          <w:bCs w:val="0"/>
          <w:color w:val="000000"/>
          <w:sz w:val="28"/>
          <w:szCs w:val="28"/>
          <w:highlight w:val="none"/>
          <w14:ligatures w14:val="none"/>
        </w:rPr>
      </w:r>
    </w:p>
    <w:p>
      <w:pPr>
        <w:shd w:val="nil" w:color="auto"/>
        <w:rPr>
          <w:rFonts w:ascii="Times New Roman" w:hAnsi="Times New Roman" w:eastAsia="Calibri" w:cs="Times New Roman"/>
          <w:b w:val="0"/>
          <w:bCs w:val="0"/>
          <w:color w:val="000000"/>
          <w:sz w:val="28"/>
          <w:szCs w:val="28"/>
          <w:highlight w:val="none"/>
          <w14:ligatures w14:val="none"/>
        </w:rPr>
        <w:suppressLineNumbers w:val="0"/>
      </w:pPr>
      <w:r>
        <w:rPr>
          <w:rFonts w:ascii="Times New Roman" w:hAnsi="Times New Roman" w:eastAsia="Calibri" w:cs="Times New Roman"/>
          <w:b w:val="0"/>
          <w:bCs w:val="0"/>
          <w:color w:val="000000"/>
          <w:sz w:val="28"/>
          <w:szCs w:val="28"/>
          <w:highlight w:val="none"/>
          <w14:ligatures w14:val="none"/>
        </w:rPr>
        <w:br w:type="page" w:clear="all"/>
      </w:r>
      <w:r>
        <w:rPr>
          <w:rFonts w:ascii="Times New Roman" w:hAnsi="Times New Roman" w:eastAsia="Calibri" w:cs="Times New Roman"/>
          <w:b w:val="0"/>
          <w:bCs w:val="0"/>
          <w:color w:val="000000"/>
          <w:sz w:val="28"/>
          <w:szCs w:val="28"/>
          <w:highlight w:val="none"/>
          <w14:ligatures w14:val="none"/>
        </w:rPr>
      </w:r>
      <w:r>
        <w:rPr>
          <w:rFonts w:ascii="Times New Roman" w:hAnsi="Times New Roman" w:eastAsia="Calibri" w:cs="Times New Roman"/>
          <w:b w:val="0"/>
          <w:bCs w:val="0"/>
          <w:color w:val="000000"/>
          <w:sz w:val="28"/>
          <w:szCs w:val="28"/>
          <w:highlight w:val="none"/>
          <w14:ligatures w14:val="none"/>
        </w:rPr>
      </w:r>
    </w:p>
    <w:p>
      <w:pPr>
        <w:pStyle w:val="962"/>
        <w:ind w:left="1069" w:firstLine="0"/>
        <w:jc w:val="center"/>
        <w:rPr>
          <w:rFonts w:ascii="Times New Roman" w:hAnsi="Times New Roman" w:cs="Times New Roman"/>
          <w:b/>
          <w:bCs/>
          <w:i/>
          <w:sz w:val="28"/>
          <w:szCs w:val="28"/>
          <w:highlight w:val="none"/>
        </w:rPr>
      </w:pPr>
      <w:r>
        <w:rPr>
          <w:rFonts w:ascii="Times New Roman" w:hAnsi="Times New Roman" w:cs="Times New Roman"/>
          <w:b/>
          <w:i/>
          <w:sz w:val="28"/>
          <w:szCs w:val="28"/>
        </w:rPr>
        <w:t xml:space="preserve">И</w:t>
      </w:r>
      <w:r>
        <w:rPr>
          <w:rFonts w:ascii="Times New Roman" w:hAnsi="Times New Roman" w:cs="Times New Roman"/>
          <w:b/>
          <w:i/>
          <w:sz w:val="28"/>
          <w:szCs w:val="28"/>
        </w:rPr>
        <w:t xml:space="preserve">нформационные письма и разъяснения </w:t>
      </w:r>
      <w:r>
        <w:rPr>
          <w:rFonts w:ascii="Times New Roman" w:hAnsi="Times New Roman" w:cs="Times New Roman"/>
          <w:b/>
          <w:i/>
          <w:sz w:val="28"/>
          <w:szCs w:val="28"/>
        </w:rPr>
        <w:t xml:space="preserve">в сфере государственного кадастрового учета и (или) государственной регистрации пр</w:t>
      </w:r>
      <w:r>
        <w:rPr>
          <w:rFonts w:ascii="Times New Roman" w:hAnsi="Times New Roman" w:cs="Times New Roman"/>
          <w:b/>
          <w:i/>
          <w:sz w:val="28"/>
          <w:szCs w:val="28"/>
        </w:rPr>
        <w:t xml:space="preserve">ав, материалы судебной практики</w:t>
      </w:r>
      <w:r>
        <w:rPr>
          <w:rFonts w:ascii="Times New Roman" w:hAnsi="Times New Roman" w:cs="Times New Roman"/>
          <w:b/>
          <w:i/>
          <w:sz w:val="28"/>
          <w:szCs w:val="28"/>
        </w:rPr>
      </w:r>
      <w:r>
        <w:rPr>
          <w:rFonts w:ascii="Times New Roman" w:hAnsi="Times New Roman" w:cs="Times New Roman"/>
          <w:b/>
          <w:bCs/>
          <w:i/>
          <w:sz w:val="28"/>
          <w:szCs w:val="28"/>
          <w:highlight w:val="none"/>
        </w:rPr>
      </w:r>
    </w:p>
    <w:p>
      <w:pPr>
        <w:pStyle w:val="962"/>
        <w:ind w:left="1069" w:firstLine="0"/>
        <w:jc w:val="center"/>
        <w:rPr>
          <w:rFonts w:ascii="Times New Roman" w:hAnsi="Times New Roman" w:cs="Times New Roman"/>
          <w:b/>
          <w:bCs/>
          <w:i/>
          <w:sz w:val="28"/>
          <w:szCs w:val="28"/>
        </w:rPr>
      </w:pPr>
      <w:r>
        <w:rPr>
          <w:rFonts w:ascii="Times New Roman" w:hAnsi="Times New Roman" w:cs="Times New Roman"/>
          <w:b/>
          <w:i/>
          <w:sz w:val="28"/>
          <w:szCs w:val="28"/>
          <w:highlight w:val="none"/>
        </w:rPr>
      </w:r>
      <w:r>
        <w:rPr>
          <w:rFonts w:ascii="Times New Roman" w:hAnsi="Times New Roman" w:cs="Times New Roman"/>
          <w:b/>
          <w:i/>
          <w:sz w:val="28"/>
          <w:szCs w:val="28"/>
          <w:highlight w:val="none"/>
        </w:rPr>
      </w:r>
    </w:p>
    <w:p>
      <w:pPr>
        <w:pStyle w:val="998"/>
        <w:ind w:left="22" w:firstLine="708"/>
        <w:spacing w:line="240" w:lineRule="auto"/>
        <w:widowControl/>
        <w:tabs>
          <w:tab w:val="left" w:pos="3161" w:leader="none"/>
          <w:tab w:val="left" w:pos="4961" w:leader="none"/>
          <w:tab w:val="left" w:pos="7315" w:leader="none"/>
        </w:tabs>
        <w:rPr>
          <w:b/>
          <w:sz w:val="28"/>
          <w:szCs w:val="20"/>
        </w:rPr>
      </w:pPr>
      <w:r>
        <w:rPr>
          <w:b/>
          <w:sz w:val="28"/>
          <w:szCs w:val="20"/>
        </w:rPr>
        <w:t xml:space="preserve">1. </w:t>
      </w:r>
      <w:r>
        <w:rPr>
          <w:b/>
          <w:sz w:val="28"/>
          <w:szCs w:val="20"/>
        </w:rPr>
        <w:t xml:space="preserve">Информационное </w:t>
      </w:r>
      <w:r>
        <w:rPr>
          <w:b/>
          <w:sz w:val="28"/>
          <w:szCs w:val="20"/>
        </w:rPr>
        <w:t xml:space="preserve">письмо Росреестра от 24</w:t>
      </w:r>
      <w:r>
        <w:rPr>
          <w:b/>
          <w:sz w:val="28"/>
          <w:szCs w:val="20"/>
        </w:rPr>
        <w:t xml:space="preserve">.02.2025 </w:t>
      </w:r>
      <w:r>
        <w:rPr>
          <w:b/>
          <w:sz w:val="28"/>
          <w:szCs w:val="20"/>
        </w:rPr>
        <w:t xml:space="preserve">                                 </w:t>
      </w:r>
      <w:r>
        <w:rPr>
          <w:b/>
          <w:sz w:val="28"/>
          <w:szCs w:val="20"/>
        </w:rPr>
        <w:t xml:space="preserve">№ </w:t>
      </w:r>
      <w:r>
        <w:rPr>
          <w:b/>
          <w:sz w:val="28"/>
          <w:szCs w:val="20"/>
        </w:rPr>
        <w:t xml:space="preserve">14-1619-ТГ/25</w:t>
      </w:r>
      <w:r>
        <w:rPr>
          <w:b/>
          <w:sz w:val="28"/>
          <w:szCs w:val="20"/>
        </w:rPr>
        <w:t xml:space="preserve">, содержащее </w:t>
      </w:r>
      <w:r>
        <w:rPr>
          <w:b/>
          <w:sz w:val="28"/>
          <w:szCs w:val="20"/>
        </w:rPr>
        <w:t xml:space="preserve">копии писем Росреестра от 27.01.2025 </w:t>
      </w:r>
      <w:r>
        <w:rPr>
          <w:b/>
          <w:sz w:val="28"/>
          <w:szCs w:val="20"/>
        </w:rPr>
        <w:t xml:space="preserve">                    </w:t>
      </w:r>
      <w:r>
        <w:rPr>
          <w:b/>
          <w:sz w:val="28"/>
          <w:szCs w:val="20"/>
        </w:rPr>
        <w:t xml:space="preserve">№ 14-0616-ТГ/25, Минкультуры России от 04.02.2025 № 1390-12-02@</w:t>
      </w:r>
      <w:r>
        <w:rPr>
          <w:b/>
          <w:sz w:val="28"/>
          <w:szCs w:val="20"/>
        </w:rPr>
        <w:t xml:space="preserve">.</w:t>
      </w:r>
      <w:r>
        <w:rPr>
          <w:b/>
          <w:sz w:val="28"/>
          <w:szCs w:val="20"/>
        </w:rPr>
      </w:r>
      <w:r>
        <w:rPr>
          <w:b/>
          <w:sz w:val="28"/>
          <w:szCs w:val="20"/>
        </w:rPr>
      </w:r>
    </w:p>
    <w:p>
      <w:pPr>
        <w:pStyle w:val="998"/>
        <w:ind w:left="22" w:firstLine="708"/>
        <w:spacing w:line="240" w:lineRule="auto"/>
        <w:widowControl/>
        <w:tabs>
          <w:tab w:val="left" w:pos="3161" w:leader="none"/>
          <w:tab w:val="left" w:pos="4961" w:leader="none"/>
          <w:tab w:val="left" w:pos="7315" w:leader="none"/>
        </w:tabs>
        <w:rPr>
          <w:b/>
          <w:sz w:val="28"/>
          <w:szCs w:val="20"/>
        </w:rPr>
      </w:pPr>
      <w:r>
        <mc:AlternateContent>
          <mc:Choice Requires="wpg">
            <w:drawing>
              <wp:inline xmlns:wp="http://schemas.openxmlformats.org/drawingml/2006/wordprocessingDrawing" distT="0" distB="0" distL="0" distR="0">
                <wp:extent cx="5396677" cy="7412614"/>
                <wp:effectExtent l="6350" t="6350" r="6350" b="6350"/>
                <wp:docPr id="2" name="_x0000_i1039"/>
                <wp:cNvGraphicFramePr/>
                <a:graphic xmlns:a="http://schemas.openxmlformats.org/drawingml/2006/main">
                  <a:graphicData uri="http://schemas.openxmlformats.org/drawingml/2006/picture">
                    <pic:pic xmlns:pic="http://schemas.openxmlformats.org/drawingml/2006/picture">
                      <pic:nvPicPr>
                        <pic:cNvPr id="1130117591" name=""/>
                        <pic:cNvPicPr/>
                        <pic:nvPr/>
                      </pic:nvPicPr>
                      <pic:blipFill>
                        <a:blip r:embed="rId14"/>
                        <a:stretch/>
                      </pic:blipFill>
                      <pic:spPr bwMode="auto">
                        <a:xfrm flipH="0" flipV="0">
                          <a:off x="0" y="0"/>
                          <a:ext cx="5396676" cy="7412614"/>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424.94pt;height:583.67pt;mso-wrap-distance-left:0.00pt;mso-wrap-distance-top:0.00pt;mso-wrap-distance-right:0.00pt;mso-wrap-distance-bottom:0.00pt;" stroked="f">
                <v:path textboxrect="0,0,0,0"/>
                <v:imagedata r:id="rId14" o:title=""/>
              </v:shape>
            </w:pict>
          </mc:Fallback>
        </mc:AlternateContent>
      </w:r>
      <w:r>
        <w:rPr>
          <w:b/>
          <w:sz w:val="28"/>
          <w:szCs w:val="20"/>
        </w:rPr>
      </w:r>
      <w:r>
        <w:rPr>
          <w:b/>
          <w:sz w:val="28"/>
          <w:szCs w:val="20"/>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mc:AlternateContent>
          <mc:Choice Requires="wpg">
            <w:drawing>
              <wp:inline xmlns:wp="http://schemas.openxmlformats.org/drawingml/2006/wordprocessingDrawing" distT="0" distB="0" distL="0" distR="0">
                <wp:extent cx="5939942" cy="8405254"/>
                <wp:effectExtent l="0" t="0" r="0" b="0"/>
                <wp:docPr id="3" name="_x0000_i1040"/>
                <wp:cNvGraphicFramePr/>
                <a:graphic xmlns:a="http://schemas.openxmlformats.org/drawingml/2006/main">
                  <a:graphicData uri="http://schemas.openxmlformats.org/drawingml/2006/picture">
                    <pic:pic xmlns:pic="http://schemas.openxmlformats.org/drawingml/2006/picture">
                      <pic:nvPicPr>
                        <pic:cNvPr id="1416488174" name=""/>
                        <pic:cNvPicPr/>
                        <pic:nvPr/>
                      </pic:nvPicPr>
                      <pic:blipFill>
                        <a:blip r:embed="rId15"/>
                        <a:stretch/>
                      </pic:blipFill>
                      <pic:spPr bwMode="auto">
                        <a:xfrm>
                          <a:off x="0" y="0"/>
                          <a:ext cx="5939941" cy="8405253"/>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467.71pt;height:661.83pt;mso-wrap-distance-left:0.00pt;mso-wrap-distance-top:0.00pt;mso-wrap-distance-right:0.00pt;mso-wrap-distance-bottom:0.00pt;" stroked="f">
                <v:path textboxrect="0,0,0,0"/>
                <v:imagedata r:id="rId15" o:title=""/>
              </v:shape>
            </w:pict>
          </mc:Fallback>
        </mc:AlternateContent>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mc:AlternateContent>
          <mc:Choice Requires="wpg">
            <w:drawing>
              <wp:inline xmlns:wp="http://schemas.openxmlformats.org/drawingml/2006/wordprocessingDrawing" distT="0" distB="0" distL="0" distR="0">
                <wp:extent cx="5939942" cy="8405254"/>
                <wp:effectExtent l="0" t="0" r="0" b="0"/>
                <wp:docPr id="4" name="_x0000_i1041"/>
                <wp:cNvGraphicFramePr/>
                <a:graphic xmlns:a="http://schemas.openxmlformats.org/drawingml/2006/main">
                  <a:graphicData uri="http://schemas.openxmlformats.org/drawingml/2006/picture">
                    <pic:pic xmlns:pic="http://schemas.openxmlformats.org/drawingml/2006/picture">
                      <pic:nvPicPr>
                        <pic:cNvPr id="2001002870" name=""/>
                        <pic:cNvPicPr/>
                        <pic:nvPr/>
                      </pic:nvPicPr>
                      <pic:blipFill>
                        <a:blip r:embed="rId16"/>
                        <a:stretch/>
                      </pic:blipFill>
                      <pic:spPr bwMode="auto">
                        <a:xfrm>
                          <a:off x="0" y="0"/>
                          <a:ext cx="5939941" cy="8405253"/>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467.71pt;height:661.83pt;mso-wrap-distance-left:0.00pt;mso-wrap-distance-top:0.00pt;mso-wrap-distance-right:0.00pt;mso-wrap-distance-bottom:0.00pt;" stroked="f">
                <v:path textboxrect="0,0,0,0"/>
                <v:imagedata r:id="rId16" o:title=""/>
              </v:shape>
            </w:pict>
          </mc:Fallback>
        </mc:AlternateContent>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mc:AlternateContent>
          <mc:Choice Requires="wpg">
            <w:drawing>
              <wp:inline xmlns:wp="http://schemas.openxmlformats.org/drawingml/2006/wordprocessingDrawing" distT="0" distB="0" distL="0" distR="0">
                <wp:extent cx="5939942" cy="8405254"/>
                <wp:effectExtent l="0" t="0" r="0" b="0"/>
                <wp:docPr id="5" name="_x0000_i1042"/>
                <wp:cNvGraphicFramePr/>
                <a:graphic xmlns:a="http://schemas.openxmlformats.org/drawingml/2006/main">
                  <a:graphicData uri="http://schemas.openxmlformats.org/drawingml/2006/picture">
                    <pic:pic xmlns:pic="http://schemas.openxmlformats.org/drawingml/2006/picture">
                      <pic:nvPicPr>
                        <pic:cNvPr id="250642539" name=""/>
                        <pic:cNvPicPr/>
                        <pic:nvPr/>
                      </pic:nvPicPr>
                      <pic:blipFill>
                        <a:blip r:embed="rId17"/>
                        <a:stretch/>
                      </pic:blipFill>
                      <pic:spPr bwMode="auto">
                        <a:xfrm>
                          <a:off x="0" y="0"/>
                          <a:ext cx="5939941" cy="8405253"/>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467.71pt;height:661.83pt;mso-wrap-distance-left:0.00pt;mso-wrap-distance-top:0.00pt;mso-wrap-distance-right:0.00pt;mso-wrap-distance-bottom:0.00pt;" stroked="f">
                <v:path textboxrect="0,0,0,0"/>
                <v:imagedata r:id="rId17" o:title=""/>
              </v:shape>
            </w:pict>
          </mc:Fallback>
        </mc:AlternateContent>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pStyle w:val="998"/>
        <w:ind w:left="22" w:firstLine="708"/>
        <w:spacing w:line="240" w:lineRule="auto"/>
        <w:widowControl/>
        <w:tabs>
          <w:tab w:val="left" w:pos="3161" w:leader="none"/>
          <w:tab w:val="left" w:pos="4961" w:leader="none"/>
          <w:tab w:val="left" w:pos="7315" w:leader="none"/>
        </w:tabs>
        <w:rPr>
          <w:rFonts w:eastAsia="Calibri"/>
          <w:b/>
          <w:sz w:val="28"/>
          <w:szCs w:val="28"/>
          <w:lang w:eastAsia="en-US"/>
        </w:rPr>
      </w:pPr>
      <w:r>
        <w:rPr>
          <w:rFonts w:eastAsia="Calibri"/>
          <w:b/>
          <w:sz w:val="28"/>
          <w:szCs w:val="28"/>
          <w:lang w:eastAsia="en-US"/>
        </w:rPr>
      </w:r>
      <w:r>
        <w:rPr>
          <w:rFonts w:eastAsia="Calibri"/>
          <w:b/>
          <w:sz w:val="28"/>
          <w:szCs w:val="28"/>
          <w:lang w:eastAsia="en-US"/>
        </w:rPr>
      </w:r>
      <w:r>
        <w:rPr>
          <w:rFonts w:eastAsia="Calibri"/>
          <w:b/>
          <w:sz w:val="28"/>
          <w:szCs w:val="28"/>
          <w:lang w:eastAsia="en-US"/>
        </w:rPr>
      </w:r>
    </w:p>
    <w:p>
      <w:pPr>
        <w:ind w:firstLine="708"/>
        <w:jc w:val="both"/>
        <w:rPr>
          <w:rStyle w:val="967"/>
          <w:rFonts w:ascii="Times New Roman" w:hAnsi="Times New Roman" w:cs="Times New Roman"/>
          <w:b/>
          <w:bCs/>
          <w:i/>
          <w:sz w:val="28"/>
          <w:szCs w:val="28"/>
          <w:highlight w:val="none"/>
          <w14:ligatures w14:val="none"/>
        </w:rPr>
      </w:pPr>
      <w:r>
        <mc:AlternateContent>
          <mc:Choice Requires="wpg">
            <w:drawing>
              <wp:inline xmlns:wp="http://schemas.openxmlformats.org/drawingml/2006/wordprocessingDrawing" distT="0" distB="0" distL="0" distR="0">
                <wp:extent cx="5725363" cy="8101609"/>
                <wp:effectExtent l="0" t="0" r="0" b="0"/>
                <wp:docPr id="6" name="_x0000_i1043"/>
                <wp:cNvGraphicFramePr/>
                <a:graphic xmlns:a="http://schemas.openxmlformats.org/drawingml/2006/main">
                  <a:graphicData uri="http://schemas.openxmlformats.org/drawingml/2006/picture">
                    <pic:pic xmlns:pic="http://schemas.openxmlformats.org/drawingml/2006/picture">
                      <pic:nvPicPr>
                        <pic:cNvPr id="1902252772" name=""/>
                        <pic:cNvPicPr/>
                        <pic:nvPr/>
                      </pic:nvPicPr>
                      <pic:blipFill>
                        <a:blip r:embed="rId18"/>
                        <a:stretch/>
                      </pic:blipFill>
                      <pic:spPr bwMode="auto">
                        <a:xfrm>
                          <a:off x="0" y="0"/>
                          <a:ext cx="5725362" cy="8101608"/>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450.82pt;height:637.92pt;mso-wrap-distance-left:0.00pt;mso-wrap-distance-top:0.00pt;mso-wrap-distance-right:0.00pt;mso-wrap-distance-bottom:0.00pt;" stroked="f">
                <v:path textboxrect="0,0,0,0"/>
                <v:imagedata r:id="rId18" o:title=""/>
              </v:shape>
            </w:pict>
          </mc:Fallback>
        </mc:AlternateContent>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pStyle w:val="998"/>
        <w:ind w:left="22" w:firstLine="708"/>
        <w:spacing w:line="240" w:lineRule="auto"/>
        <w:widowControl/>
        <w:tabs>
          <w:tab w:val="left" w:pos="3161" w:leader="none"/>
          <w:tab w:val="left" w:pos="4961" w:leader="none"/>
          <w:tab w:val="left" w:pos="7315" w:leader="none"/>
        </w:tabs>
      </w:pPr>
      <w:r>
        <w:rPr>
          <w:b/>
          <w:bCs/>
          <w:sz w:val="28"/>
          <w:szCs w:val="28"/>
        </w:rPr>
        <w:t xml:space="preserve">2. </w:t>
      </w:r>
      <w:r>
        <w:rPr>
          <w:b/>
          <w:bCs/>
          <w:sz w:val="28"/>
          <w:szCs w:val="28"/>
        </w:rPr>
        <w:t xml:space="preserve">Информационн</w:t>
      </w:r>
      <w:r>
        <w:rPr>
          <w:b/>
          <w:bCs/>
          <w:sz w:val="28"/>
          <w:szCs w:val="28"/>
        </w:rPr>
        <w:t xml:space="preserve">ое </w:t>
      </w:r>
      <w:r>
        <w:rPr>
          <w:b/>
          <w:bCs/>
          <w:sz w:val="28"/>
          <w:szCs w:val="28"/>
        </w:rPr>
        <w:t xml:space="preserve">письмо Росреестра </w:t>
      </w:r>
      <w:r>
        <w:rPr>
          <w:b/>
          <w:bCs/>
          <w:sz w:val="28"/>
          <w:szCs w:val="28"/>
          <w:lang w:eastAsia="en-US"/>
        </w:rPr>
        <w:t xml:space="preserve">от </w:t>
      </w:r>
      <w:r>
        <w:rPr>
          <w:b/>
          <w:bCs/>
          <w:sz w:val="28"/>
          <w:szCs w:val="28"/>
          <w:lang w:eastAsia="en-US"/>
        </w:rPr>
        <w:t xml:space="preserve">11.03.2025 </w:t>
      </w:r>
      <w:r>
        <w:rPr>
          <w:b/>
          <w:bCs/>
          <w:sz w:val="28"/>
          <w:szCs w:val="28"/>
          <w:lang w:eastAsia="en-US"/>
        </w:rPr>
        <w:t xml:space="preserve">                           №</w:t>
      </w:r>
      <w:r>
        <w:rPr>
          <w:b/>
          <w:bCs/>
          <w:sz w:val="28"/>
          <w:szCs w:val="28"/>
          <w:lang w:eastAsia="en-US"/>
        </w:rPr>
        <w:t xml:space="preserve"> </w:t>
      </w:r>
      <w:r>
        <w:rPr>
          <w:b/>
          <w:bCs/>
          <w:sz w:val="28"/>
          <w:szCs w:val="28"/>
          <w:lang w:eastAsia="en-US"/>
        </w:rPr>
        <w:t xml:space="preserve">14-2164-ТГ/2</w:t>
      </w:r>
      <w:r>
        <w:rPr>
          <w:b/>
          <w:bCs/>
          <w:sz w:val="28"/>
          <w:szCs w:val="28"/>
        </w:rPr>
        <w:t xml:space="preserve">5 </w:t>
      </w:r>
      <w:r>
        <w:rPr>
          <w:b/>
          <w:bCs/>
          <w:sz w:val="28"/>
          <w:szCs w:val="28"/>
        </w:rPr>
        <w:t xml:space="preserve">о направлении ответов на поступившие вопросы </w:t>
      </w:r>
      <w:r>
        <w:rPr>
          <w:b/>
          <w:bCs/>
          <w:sz w:val="28"/>
          <w:szCs w:val="28"/>
        </w:rPr>
        <w:t xml:space="preserve">относительно применения положений Федерального закона </w:t>
      </w:r>
      <w:r>
        <w:rPr>
          <w:b/>
          <w:bCs/>
          <w:sz w:val="28"/>
          <w:szCs w:val="28"/>
        </w:rPr>
        <w:t xml:space="preserve">от 23.11.2024 № 403-ФЗ «О внесении изменений в статью 6 Федерального закона </w:t>
      </w:r>
      <w:r>
        <w:rPr>
          <w:b/>
          <w:bCs/>
          <w:sz w:val="28"/>
          <w:szCs w:val="28"/>
        </w:rPr>
        <w:t xml:space="preserve">«О внесении изменений в часть первую Гражданского кодекса Российской </w:t>
      </w:r>
      <w:r>
        <w:rPr>
          <w:b/>
          <w:bCs/>
          <w:sz w:val="28"/>
          <w:szCs w:val="28"/>
        </w:rPr>
        <w:t xml:space="preserve">Федерации и отдельные законодательные акты Российской Федерации» и </w:t>
      </w:r>
      <w:r>
        <w:rPr>
          <w:b/>
          <w:bCs/>
          <w:sz w:val="28"/>
          <w:szCs w:val="28"/>
        </w:rPr>
        <w:t xml:space="preserve">Федеральный закон «О государственной регистрации недвижимости». </w:t>
      </w:r>
      <w:r/>
    </w:p>
    <w:p>
      <w:pPr>
        <w:pStyle w:val="998"/>
        <w:ind w:left="22" w:firstLine="708"/>
        <w:spacing w:line="240" w:lineRule="auto"/>
        <w:widowControl/>
        <w:tabs>
          <w:tab w:val="left" w:pos="3161" w:leader="none"/>
          <w:tab w:val="left" w:pos="4961" w:leader="none"/>
          <w:tab w:val="left" w:pos="7315" w:leader="none"/>
        </w:tabs>
        <w:rPr>
          <w:b/>
          <w:bCs/>
          <w:sz w:val="28"/>
          <w:szCs w:val="28"/>
          <w14:ligatures w14:val="none"/>
        </w:rPr>
      </w:pPr>
      <w:r>
        <w:rPr>
          <w:b/>
          <w:bCs/>
          <w:sz w:val="28"/>
          <w:szCs w:val="28"/>
        </w:rPr>
      </w:r>
      <w:r>
        <mc:AlternateContent>
          <mc:Choice Requires="wpg">
            <w:drawing>
              <wp:inline xmlns:wp="http://schemas.openxmlformats.org/drawingml/2006/wordprocessingDrawing" distT="0" distB="0" distL="0" distR="0">
                <wp:extent cx="5293954" cy="7488383"/>
                <wp:effectExtent l="0" t="0" r="0" b="0"/>
                <wp:docPr id="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832067" name=""/>
                        <pic:cNvPicPr>
                          <a:picLocks noChangeAspect="1"/>
                        </pic:cNvPicPr>
                        <pic:nvPr/>
                      </pic:nvPicPr>
                      <pic:blipFill>
                        <a:blip r:embed="rId19"/>
                        <a:stretch/>
                      </pic:blipFill>
                      <pic:spPr bwMode="auto">
                        <a:xfrm flipH="0" flipV="0">
                          <a:off x="0" y="0"/>
                          <a:ext cx="5293953" cy="748838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416.85pt;height:589.64pt;mso-wrap-distance-left:0.00pt;mso-wrap-distance-top:0.00pt;mso-wrap-distance-right:0.00pt;mso-wrap-distance-bottom:0.00pt;" stroked="false">
                <v:path textboxrect="0,0,0,0"/>
                <v:imagedata r:id="rId19" o:title=""/>
              </v:shape>
            </w:pict>
          </mc:Fallback>
        </mc:AlternateContent>
      </w:r>
      <w:r>
        <w:rPr>
          <w:b/>
          <w:bCs/>
          <w:sz w:val="28"/>
          <w:szCs w:val="28"/>
          <w14:ligatures w14:val="none"/>
        </w:rPr>
      </w:r>
      <w:r>
        <w:rPr>
          <w:b/>
          <w:bCs/>
          <w:sz w:val="28"/>
          <w:szCs w:val="28"/>
          <w14:ligatures w14:val="none"/>
        </w:rPr>
      </w:r>
    </w:p>
    <w:p>
      <w:pPr>
        <w:pStyle w:val="998"/>
        <w:ind w:left="22" w:firstLine="708"/>
        <w:spacing w:line="240" w:lineRule="auto"/>
        <w:widowControl/>
        <w:tabs>
          <w:tab w:val="left" w:pos="3161" w:leader="none"/>
          <w:tab w:val="left" w:pos="4961" w:leader="none"/>
          <w:tab w:val="left" w:pos="7315" w:leader="none"/>
        </w:tabs>
        <w:rPr>
          <w:b/>
          <w:bCs/>
          <w:sz w:val="28"/>
          <w:szCs w:val="28"/>
          <w:highlight w:val="none"/>
        </w:rPr>
      </w:pPr>
      <w:r>
        <w:rPr>
          <w:b/>
          <w:bCs/>
          <w:sz w:val="28"/>
          <w:szCs w:val="28"/>
          <w:highlight w:val="none"/>
        </w:rPr>
      </w:r>
      <w:r>
        <w:rPr>
          <w:b/>
          <w:bCs/>
          <w:sz w:val="28"/>
          <w:szCs w:val="28"/>
          <w:highlight w:val="none"/>
        </w:rPr>
      </w:r>
      <w:r>
        <w:rPr>
          <w:b/>
          <w:bCs/>
          <w:sz w:val="28"/>
          <w:szCs w:val="28"/>
          <w:highlight w:val="none"/>
        </w:rPr>
      </w:r>
    </w:p>
    <w:p>
      <w:pPr>
        <w:pStyle w:val="998"/>
        <w:ind w:left="22" w:firstLine="708"/>
        <w:spacing w:line="240" w:lineRule="auto"/>
        <w:widowControl/>
        <w:tabs>
          <w:tab w:val="left" w:pos="3161" w:leader="none"/>
          <w:tab w:val="left" w:pos="4961" w:leader="none"/>
          <w:tab w:val="left" w:pos="7315" w:leader="none"/>
        </w:tabs>
        <w:rPr>
          <w:b/>
          <w:bCs/>
          <w:sz w:val="28"/>
          <w:szCs w:val="28"/>
          <w:highlight w:val="none"/>
        </w:rPr>
      </w:pPr>
      <w:r>
        <w:rPr>
          <w:b/>
          <w:bCs/>
          <w:sz w:val="28"/>
          <w:szCs w:val="28"/>
          <w:highlight w:val="none"/>
        </w:rPr>
      </w:r>
      <w:r>
        <mc:AlternateContent>
          <mc:Choice Requires="wpg">
            <w:drawing>
              <wp:inline xmlns:wp="http://schemas.openxmlformats.org/drawingml/2006/wordprocessingDrawing" distT="0" distB="0" distL="0" distR="0">
                <wp:extent cx="5481023" cy="3874839"/>
                <wp:effectExtent l="0" t="0" r="0" b="0"/>
                <wp:docPr id="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96492" name=""/>
                        <pic:cNvPicPr>
                          <a:picLocks noChangeAspect="1"/>
                        </pic:cNvPicPr>
                        <pic:nvPr/>
                      </pic:nvPicPr>
                      <pic:blipFill>
                        <a:blip r:embed="rId20"/>
                        <a:stretch/>
                      </pic:blipFill>
                      <pic:spPr bwMode="auto">
                        <a:xfrm flipH="0" flipV="0">
                          <a:off x="0" y="0"/>
                          <a:ext cx="5481021" cy="387483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431.58pt;height:305.11pt;mso-wrap-distance-left:0.00pt;mso-wrap-distance-top:0.00pt;mso-wrap-distance-right:0.00pt;mso-wrap-distance-bottom:0.00pt;" stroked="false">
                <v:path textboxrect="0,0,0,0"/>
                <v:imagedata r:id="rId20" o:title=""/>
              </v:shape>
            </w:pict>
          </mc:Fallback>
        </mc:AlternateContent>
      </w:r>
      <w:r>
        <w:rPr>
          <w:b/>
          <w:bCs/>
          <w:sz w:val="28"/>
          <w:szCs w:val="28"/>
          <w:highlight w:val="none"/>
        </w:rPr>
      </w:r>
      <w:r>
        <w:rPr>
          <w:b/>
          <w:bCs/>
          <w:sz w:val="28"/>
          <w:szCs w:val="28"/>
          <w:highlight w:val="none"/>
        </w:rPr>
      </w:r>
    </w:p>
    <w:p>
      <w:pPr>
        <w:pStyle w:val="998"/>
        <w:ind w:left="22" w:firstLine="708"/>
        <w:spacing w:line="240" w:lineRule="auto"/>
        <w:widowControl/>
        <w:tabs>
          <w:tab w:val="left" w:pos="3161" w:leader="none"/>
          <w:tab w:val="left" w:pos="4961" w:leader="none"/>
          <w:tab w:val="left" w:pos="7315" w:leader="none"/>
        </w:tabs>
        <w:rPr>
          <w:b/>
          <w:bCs/>
          <w:sz w:val="28"/>
          <w:szCs w:val="28"/>
          <w:highlight w:val="none"/>
        </w:rPr>
      </w:pPr>
      <w:r>
        <w:rPr>
          <w:b/>
          <w:bCs/>
          <w:sz w:val="28"/>
          <w:szCs w:val="28"/>
          <w:highlight w:val="none"/>
        </w:rPr>
      </w:r>
      <w:r>
        <mc:AlternateContent>
          <mc:Choice Requires="wpg">
            <w:drawing>
              <wp:inline xmlns:wp="http://schemas.openxmlformats.org/drawingml/2006/wordprocessingDrawing" distT="0" distB="0" distL="0" distR="0">
                <wp:extent cx="5569938" cy="3937698"/>
                <wp:effectExtent l="0" t="0" r="0" b="0"/>
                <wp:docPr id="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534255" name=""/>
                        <pic:cNvPicPr>
                          <a:picLocks noChangeAspect="1"/>
                        </pic:cNvPicPr>
                        <pic:nvPr/>
                      </pic:nvPicPr>
                      <pic:blipFill>
                        <a:blip r:embed="rId21"/>
                        <a:stretch/>
                      </pic:blipFill>
                      <pic:spPr bwMode="auto">
                        <a:xfrm flipH="0" flipV="0">
                          <a:off x="0" y="0"/>
                          <a:ext cx="5569936" cy="393769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width:438.58pt;height:310.05pt;mso-wrap-distance-left:0.00pt;mso-wrap-distance-top:0.00pt;mso-wrap-distance-right:0.00pt;mso-wrap-distance-bottom:0.00pt;" stroked="false">
                <v:path textboxrect="0,0,0,0"/>
                <v:imagedata r:id="rId21" o:title=""/>
              </v:shape>
            </w:pict>
          </mc:Fallback>
        </mc:AlternateContent>
      </w:r>
      <w:r>
        <w:rPr>
          <w:b/>
          <w:bCs/>
          <w:sz w:val="28"/>
          <w:szCs w:val="28"/>
          <w:highlight w:val="none"/>
        </w:rPr>
      </w:r>
      <w:r>
        <w:rPr>
          <w:b/>
          <w:bCs/>
          <w:sz w:val="28"/>
          <w:szCs w:val="28"/>
          <w:highlight w:val="none"/>
        </w:rPr>
      </w:r>
    </w:p>
    <w:p>
      <w:pPr>
        <w:pStyle w:val="998"/>
        <w:ind w:left="22" w:firstLine="708"/>
        <w:spacing w:line="240" w:lineRule="auto"/>
        <w:widowControl/>
        <w:tabs>
          <w:tab w:val="left" w:pos="3161" w:leader="none"/>
          <w:tab w:val="left" w:pos="4961" w:leader="none"/>
          <w:tab w:val="left" w:pos="7315" w:leader="none"/>
        </w:tabs>
        <w:rPr>
          <w:b/>
          <w:bCs/>
          <w:sz w:val="28"/>
          <w:szCs w:val="28"/>
          <w:highlight w:val="none"/>
        </w:rPr>
      </w:pPr>
      <w:r>
        <w:rPr>
          <w:b/>
          <w:bCs/>
          <w:sz w:val="28"/>
          <w:szCs w:val="28"/>
          <w:highlight w:val="none"/>
        </w:rPr>
      </w:r>
      <w:r>
        <mc:AlternateContent>
          <mc:Choice Requires="wpg">
            <w:drawing>
              <wp:inline xmlns:wp="http://schemas.openxmlformats.org/drawingml/2006/wordprocessingDrawing" distT="0" distB="0" distL="0" distR="0">
                <wp:extent cx="5890369" cy="4164229"/>
                <wp:effectExtent l="0" t="0" r="0" b="0"/>
                <wp:docPr id="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065672" name=""/>
                        <pic:cNvPicPr>
                          <a:picLocks noChangeAspect="1"/>
                        </pic:cNvPicPr>
                        <pic:nvPr/>
                      </pic:nvPicPr>
                      <pic:blipFill>
                        <a:blip r:embed="rId22"/>
                        <a:stretch/>
                      </pic:blipFill>
                      <pic:spPr bwMode="auto">
                        <a:xfrm flipH="0" flipV="0">
                          <a:off x="0" y="0"/>
                          <a:ext cx="5890367" cy="416422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width:463.81pt;height:327.89pt;mso-wrap-distance-left:0.00pt;mso-wrap-distance-top:0.00pt;mso-wrap-distance-right:0.00pt;mso-wrap-distance-bottom:0.00pt;" stroked="false">
                <v:path textboxrect="0,0,0,0"/>
                <v:imagedata r:id="rId22" o:title=""/>
              </v:shape>
            </w:pict>
          </mc:Fallback>
        </mc:AlternateContent>
      </w:r>
      <w:r>
        <w:rPr>
          <w:b/>
          <w:bCs/>
          <w:sz w:val="28"/>
          <w:szCs w:val="28"/>
          <w:highlight w:val="none"/>
        </w:rPr>
      </w:r>
      <w:r>
        <w:rPr>
          <w:b/>
          <w:bCs/>
          <w:sz w:val="28"/>
          <w:szCs w:val="28"/>
          <w:highlight w: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sectPr>
          <w:headerReference w:type="default" r:id="rId9"/>
          <w:headerReference w:type="first" r:id="rId10"/>
          <w:footerReference w:type="first" r:id="rId11"/>
          <w:footnotePr/>
          <w:endnotePr/>
          <w:type w:val="nextPage"/>
          <w:pgSz w:w="11906" w:h="16838" w:orient="portrait"/>
          <w:pgMar w:top="1134" w:right="850" w:bottom="1134" w:left="1701" w:header="709" w:footer="709" w:gutter="0"/>
          <w:cols w:num="1" w:sep="0" w:space="708" w:equalWidth="1"/>
          <w:docGrid w:linePitch="360"/>
          <w:titlePg/>
        </w:sectPr>
      </w:pPr>
      <w:r>
        <w:rPr>
          <w:rStyle w:val="967"/>
          <w:rFonts w:ascii="Times New Roman" w:hAnsi="Times New Roman" w:cs="Times New Roman"/>
          <w:b/>
          <w:i/>
          <w:sz w:val="28"/>
          <w:szCs w:val="28"/>
          <w:highlight w:val="none"/>
        </w:rPr>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ind w:firstLine="708"/>
        <w:jc w:val="both"/>
        <w:rPr>
          <w:rStyle w:val="967"/>
          <w:rFonts w:ascii="Times New Roman" w:hAnsi="Times New Roman" w:cs="Times New Roman"/>
          <w:b/>
          <w:bCs/>
          <w:i/>
          <w:sz w:val="28"/>
          <w:szCs w:val="28"/>
          <w:highlight w:val="none"/>
          <w14:ligatures w14:val="none"/>
        </w:rPr>
      </w:pPr>
      <w:r>
        <w:rPr>
          <w:b/>
        </w:rPr>
      </w:r>
      <w:r>
        <w:rPr>
          <w:rStyle w:val="967"/>
          <w:rFonts w:ascii="Times New Roman" w:hAnsi="Times New Roman" w:cs="Times New Roman"/>
          <w:b/>
          <w:i/>
          <w:sz w:val="28"/>
          <w:szCs w:val="28"/>
        </w:rPr>
        <w:t xml:space="preserve">Новости информационных сайтов</w:t>
      </w:r>
      <w:r>
        <w:rPr>
          <w:rFonts w:ascii="Times New Roman" w:hAnsi="Times New Roman" w:cs="Times New Roman"/>
          <w:b/>
          <w:i/>
          <w:sz w:val="28"/>
          <w:szCs w:val="28"/>
        </w:rPr>
        <w:t xml:space="preserve"> Минэкономразвития России</w:t>
      </w:r>
      <w:r>
        <w:rPr>
          <w:rStyle w:val="967"/>
          <w:rFonts w:ascii="Times New Roman" w:hAnsi="Times New Roman" w:cs="Times New Roman"/>
          <w:b/>
          <w:i/>
          <w:sz w:val="28"/>
          <w:szCs w:val="28"/>
        </w:rPr>
        <w:t xml:space="preserve">, Росреестра и Управления Росреестра по Новосибирской области</w:t>
      </w:r>
      <w:r>
        <w:rPr>
          <w:rStyle w:val="967"/>
          <w:rFonts w:ascii="Times New Roman" w:hAnsi="Times New Roman" w:cs="Times New Roman"/>
          <w:b/>
          <w:bCs/>
          <w:i/>
          <w:sz w:val="28"/>
          <w:szCs w:val="28"/>
          <w:highlight w:val="none"/>
          <w14:ligatures w14:val="none"/>
        </w:rPr>
      </w:r>
      <w:r>
        <w:rPr>
          <w:rStyle w:val="967"/>
          <w:rFonts w:ascii="Times New Roman" w:hAnsi="Times New Roman" w:cs="Times New Roman"/>
          <w:b/>
          <w:bCs/>
          <w:i/>
          <w:sz w:val="28"/>
          <w:szCs w:val="28"/>
          <w:highlight w:val="none"/>
          <w14:ligatures w14:val="none"/>
        </w:rPr>
      </w:r>
    </w:p>
    <w:p>
      <w:pPr>
        <w:jc w:val="both"/>
        <w:spacing w:after="0" w:line="240" w:lineRule="auto"/>
        <w:rPr>
          <w:rFonts w:ascii="Times New Roman" w:hAnsi="Times New Roman" w:eastAsia="Calibri" w:cs="Times New Roman"/>
          <w:b/>
          <w:bCs/>
          <w:color w:val="292c2f"/>
          <w:sz w:val="28"/>
          <w:szCs w:val="28"/>
        </w:rPr>
      </w:pPr>
      <w:r>
        <w:rPr>
          <w:rFonts w:ascii="Times New Roman" w:hAnsi="Times New Roman" w:eastAsia="Calibri" w:cs="Times New Roman"/>
          <w:b/>
          <w:bCs/>
          <w:color w:val="292c2f"/>
          <w:sz w:val="28"/>
          <w:szCs w:val="28"/>
        </w:rPr>
      </w:r>
      <w:r>
        <w:rPr>
          <w:rFonts w:ascii="Times New Roman" w:hAnsi="Times New Roman" w:eastAsia="Calibri" w:cs="Times New Roman"/>
          <w:b/>
          <w:bCs/>
          <w:color w:val="292c2f"/>
          <w:sz w:val="28"/>
          <w:szCs w:val="28"/>
        </w:rPr>
      </w:r>
      <w:r>
        <w:rPr>
          <w:rFonts w:ascii="Times New Roman" w:hAnsi="Times New Roman" w:eastAsia="Calibri" w:cs="Times New Roman"/>
          <w:b/>
          <w:bCs/>
          <w:color w:val="292c2f"/>
          <w:sz w:val="28"/>
          <w:szCs w:val="28"/>
        </w:rPr>
      </w:r>
    </w:p>
    <w:p>
      <w:pPr>
        <w:pStyle w:val="954"/>
        <w:rPr>
          <w:b/>
        </w:rPr>
      </w:pPr>
      <w:r>
        <w:rPr>
          <w:b/>
        </w:rPr>
        <w:t xml:space="preserve">1.</w:t>
      </w:r>
      <w:r>
        <w:rPr>
          <w:b/>
        </w:rPr>
        <w:t xml:space="preserve"> </w:t>
      </w:r>
      <w:r>
        <w:rPr>
          <w:b/>
        </w:rPr>
        <w:t xml:space="preserve">Более 700 тыс. обращений и сообщений обработал Росреестр по итогам 2024 года.</w:t>
      </w:r>
      <w:r>
        <w:rPr>
          <w:b/>
        </w:rPr>
      </w:r>
      <w:r>
        <w:rPr>
          <w:b/>
        </w:rPr>
      </w:r>
    </w:p>
    <w:p>
      <w:pPr>
        <w:pStyle w:val="954"/>
        <w:rPr>
          <w:b w:val="0"/>
          <w:bCs w:val="0"/>
        </w:rPr>
      </w:pPr>
      <w:r>
        <w:rPr>
          <w:b w:val="0"/>
          <w:bCs w:val="0"/>
        </w:rPr>
        <w:t xml:space="preserve">За 2024 год команда Большого Росреестра рассмотрела более 700 тыс. обращений, что составило порядка 3000 обращений в день.</w:t>
      </w:r>
      <w:r>
        <w:rPr>
          <w:b w:val="0"/>
          <w:bCs w:val="0"/>
        </w:rPr>
      </w:r>
      <w:r>
        <w:rPr>
          <w:b w:val="0"/>
          <w:bCs w:val="0"/>
        </w:rPr>
      </w:r>
    </w:p>
    <w:p>
      <w:pPr>
        <w:pStyle w:val="954"/>
        <w:rPr>
          <w:b w:val="0"/>
          <w:bCs w:val="0"/>
        </w:rPr>
      </w:pPr>
      <w:r>
        <w:rPr>
          <w:b w:val="0"/>
          <w:bCs w:val="0"/>
        </w:rPr>
        <w:t xml:space="preserve">Почти 95% всех обращений граждан рассмотрены по</w:t>
      </w:r>
      <w:r>
        <w:rPr>
          <w:b w:val="0"/>
          <w:bCs w:val="0"/>
        </w:rPr>
        <w:t xml:space="preserve">ложительно: вопросы заявителей решены или по ним даны детальные разъяснения. Всего 3% обращений признаны необоснованными, на 1,8% ответы не направлялись в связи с отсутствием сути обращения. По 0,2% обращений предоставлена информация ответственному органу.</w:t>
      </w:r>
      <w:r>
        <w:rPr>
          <w:b w:val="0"/>
          <w:bCs w:val="0"/>
        </w:rPr>
      </w:r>
      <w:r>
        <w:rPr>
          <w:b w:val="0"/>
          <w:bCs w:val="0"/>
        </w:rPr>
      </w:r>
    </w:p>
    <w:p>
      <w:pPr>
        <w:pStyle w:val="954"/>
        <w:rPr>
          <w:b w:val="0"/>
          <w:bCs w:val="0"/>
        </w:rPr>
      </w:pPr>
      <w:r>
        <w:rPr>
          <w:b w:val="0"/>
          <w:bCs w:val="0"/>
        </w:rPr>
        <w:t xml:space="preserve">Чаще всего заявители обращались по вопросам государственной регистрации прав на недвижимое имущество и сделок с ним, государственного кадастрового учета и предоставления сведений Единого государственного реестра недвижимости (56% обращений).</w:t>
      </w:r>
      <w:r>
        <w:rPr>
          <w:b w:val="0"/>
          <w:bCs w:val="0"/>
        </w:rPr>
      </w:r>
      <w:r>
        <w:rPr>
          <w:b w:val="0"/>
          <w:bCs w:val="0"/>
        </w:rPr>
      </w:r>
    </w:p>
    <w:p>
      <w:pPr>
        <w:pStyle w:val="954"/>
        <w:rPr>
          <w:b w:val="0"/>
          <w:bCs w:val="0"/>
        </w:rPr>
      </w:pPr>
      <w:r>
        <w:rPr>
          <w:b w:val="0"/>
          <w:bCs w:val="0"/>
        </w:rPr>
        <w:t xml:space="preserve">Чуть реже — по вопросам земельного контроля (надзора) (9%), контроля за деятельно</w:t>
      </w:r>
      <w:r>
        <w:rPr>
          <w:b w:val="0"/>
          <w:bCs w:val="0"/>
        </w:rPr>
        <w:t xml:space="preserve">стью СРО арбитражных управляющих (7%), землеустройства, землеустроительного процесса, установления границ, мониторинга земель, кадастровой деятельности, деятельности кадастровых инженеров (3%), государственной кадастровой оценки объектов недвижимости (3%).</w:t>
      </w:r>
      <w:r>
        <w:rPr>
          <w:b w:val="0"/>
          <w:bCs w:val="0"/>
        </w:rPr>
      </w:r>
      <w:r>
        <w:rPr>
          <w:b w:val="0"/>
          <w:bCs w:val="0"/>
        </w:rPr>
      </w:r>
    </w:p>
    <w:p>
      <w:pPr>
        <w:pStyle w:val="954"/>
        <w:rPr>
          <w:b w:val="0"/>
          <w:bCs w:val="0"/>
        </w:rPr>
      </w:pPr>
      <w:r>
        <w:rPr>
          <w:b w:val="0"/>
          <w:bCs w:val="0"/>
        </w:rPr>
        <w:t xml:space="preserve">Более 400 тыс. обращений поступило в Росреестр и ППК «Роскадастр» посредством платформы обратной связи (ПОС), электронная форма которой размещена на едином портале Госуслуг и на официальном сайте Росреестра. Это в 2 раза больше по сравнению с 2023 годом.</w:t>
      </w:r>
      <w:r>
        <w:rPr>
          <w:b w:val="0"/>
          <w:bCs w:val="0"/>
        </w:rPr>
      </w:r>
      <w:r>
        <w:rPr>
          <w:b w:val="0"/>
          <w:bCs w:val="0"/>
        </w:rPr>
      </w:r>
    </w:p>
    <w:p>
      <w:pPr>
        <w:pStyle w:val="954"/>
        <w:rPr>
          <w:b w:val="0"/>
          <w:bCs w:val="0"/>
        </w:rPr>
      </w:pPr>
      <w:r>
        <w:rPr>
          <w:b w:val="0"/>
          <w:bCs w:val="0"/>
        </w:rPr>
        <w:t xml:space="preserve">98% вопросов заявителей, поступивших посредством сервиса ПОС, решены, причем 93% обращений рассмотрены в ускоренные сроки — от 5 до 10 дней. В среднем рассмотрение сообщений посредством Платформы занимает 4 дня.</w:t>
      </w:r>
      <w:r>
        <w:rPr>
          <w:b w:val="0"/>
          <w:bCs w:val="0"/>
        </w:rPr>
      </w:r>
      <w:r>
        <w:rPr>
          <w:b w:val="0"/>
          <w:bCs w:val="0"/>
        </w:rPr>
      </w:r>
    </w:p>
    <w:p>
      <w:pPr>
        <w:pStyle w:val="954"/>
        <w:rPr>
          <w:b w:val="0"/>
          <w:bCs w:val="0"/>
        </w:rPr>
      </w:pPr>
      <w:r>
        <w:rPr>
          <w:b w:val="0"/>
          <w:bCs w:val="0"/>
        </w:rPr>
        <w:t xml:space="preserve">Для повышения качества предоставления государственных услуг и оценки качества удовлетворенности граждан работо</w:t>
      </w:r>
      <w:r>
        <w:rPr>
          <w:b w:val="0"/>
          <w:bCs w:val="0"/>
        </w:rPr>
        <w:t xml:space="preserve">й Росреестра посредством Платформы на ЕПГУ проводятся опросы, размещенные на главной странице официального сайта ведомства в информационно-телекоммуникационной сети Интернет в разделе «Общественное голосование» на портале Госуслуг «Мой выбор, мое будущее».</w:t>
      </w:r>
      <w:r>
        <w:rPr>
          <w:b w:val="0"/>
          <w:bCs w:val="0"/>
        </w:rPr>
      </w:r>
      <w:r>
        <w:rPr>
          <w:b w:val="0"/>
          <w:bCs w:val="0"/>
        </w:rPr>
      </w:r>
    </w:p>
    <w:p>
      <w:pPr>
        <w:pStyle w:val="954"/>
        <w:rPr>
          <w:b w:val="0"/>
          <w:bCs w:val="0"/>
        </w:rPr>
      </w:pPr>
      <w:r>
        <w:rPr>
          <w:b w:val="0"/>
          <w:bCs w:val="0"/>
        </w:rPr>
        <w:t xml:space="preserve">По итогам </w:t>
      </w:r>
      <w:r>
        <w:rPr>
          <w:b w:val="0"/>
          <w:bCs w:val="0"/>
        </w:rPr>
        <w:t xml:space="preserve">2024 года в опросе по оценке качества работы с обращениями граждан в Росреестре приняли участие более 55 тыс. человек, 97% которых удовлетворены полученными от ведомства ответами. 60% респондентов отметили, что их обращения рассмотрены менее чем за 5 дней.</w:t>
      </w:r>
      <w:r>
        <w:rPr>
          <w:b w:val="0"/>
          <w:bCs w:val="0"/>
        </w:rPr>
      </w:r>
      <w:r>
        <w:rPr>
          <w:b w:val="0"/>
          <w:bCs w:val="0"/>
        </w:rPr>
      </w:r>
    </w:p>
    <w:p>
      <w:pPr>
        <w:pStyle w:val="954"/>
        <w:rPr>
          <w:b w:val="0"/>
          <w:bCs w:val="0"/>
        </w:rPr>
      </w:pPr>
      <w:r>
        <w:rPr>
          <w:b w:val="0"/>
          <w:bCs w:val="0"/>
        </w:rPr>
        <w:t xml:space="preserve">Каждый третий воспользовался интернет-сервисом Росреестра «Обращения граждан онлайн», удобство которого 70% из них оценили на высший балл.</w:t>
      </w:r>
      <w:r>
        <w:rPr>
          <w:b w:val="0"/>
          <w:bCs w:val="0"/>
        </w:rPr>
      </w:r>
      <w:r>
        <w:rPr>
          <w:b w:val="0"/>
          <w:bCs w:val="0"/>
        </w:rPr>
      </w:r>
    </w:p>
    <w:p>
      <w:pPr>
        <w:pStyle w:val="954"/>
        <w:rPr>
          <w:b w:val="0"/>
          <w:bCs w:val="0"/>
        </w:rPr>
      </w:pPr>
      <w:r>
        <w:rPr>
          <w:b w:val="0"/>
          <w:bCs w:val="0"/>
        </w:rPr>
        <w:t xml:space="preserve">Для участия в опросе по оценке качества работы с обращениями граждан в Росреестре Вы можете перейти по ссылке: https://pos.gosuslugi.ru/lkp/polls/487587/</w:t>
      </w:r>
      <w:r>
        <w:rPr>
          <w:b w:val="0"/>
          <w:bCs w:val="0"/>
        </w:rPr>
        <w:t xml:space="preserve">.</w:t>
      </w:r>
      <w:r>
        <w:rPr>
          <w:b w:val="0"/>
          <w:bCs w:val="0"/>
        </w:rPr>
      </w:r>
    </w:p>
    <w:p>
      <w:pPr>
        <w:pStyle w:val="954"/>
        <w:rPr>
          <w:b w:val="0"/>
          <w:bCs w:val="0"/>
        </w:rPr>
      </w:pPr>
      <w:r>
        <w:rPr>
          <w:b w:val="0"/>
          <w:bCs w:val="0"/>
        </w:rPr>
        <w:t xml:space="preserve">Для участия в опросе по оценке качества личного приема в Росреестре Вы можете перейти по ссылке: https://pos.gosuslugi.ru/lkp/polls/487597/</w:t>
      </w:r>
      <w:r>
        <w:rPr>
          <w:b w:val="0"/>
          <w:bCs w:val="0"/>
        </w:rPr>
      </w:r>
      <w:r>
        <w:rPr>
          <w:b w:val="0"/>
          <w:bCs w:val="0"/>
        </w:rPr>
      </w:r>
    </w:p>
    <w:p>
      <w:pPr>
        <w:pStyle w:val="954"/>
        <w:rPr>
          <w:b w:val="0"/>
          <w:bCs w:val="0"/>
        </w:rPr>
      </w:pPr>
      <w:r>
        <w:rPr>
          <w:b w:val="0"/>
          <w:bCs w:val="0"/>
        </w:rPr>
      </w:r>
      <w:r>
        <w:rPr>
          <w:b w:val="0"/>
          <w:bCs w:val="0"/>
        </w:rPr>
      </w:r>
      <w:r>
        <w:rPr>
          <w:b w:val="0"/>
          <w:bCs w:val="0"/>
        </w:rPr>
      </w:r>
    </w:p>
    <w:p>
      <w:pPr>
        <w:pStyle w:val="954"/>
        <w:rPr>
          <w:b/>
          <w:color w:val="292c2f"/>
        </w:rPr>
      </w:pPr>
      <w:r>
        <w:rPr>
          <w:b/>
          <w:bCs/>
          <w:color w:val="292c2f"/>
        </w:rPr>
        <w:t xml:space="preserve">2</w:t>
      </w:r>
      <w:r>
        <w:rPr>
          <w:b/>
          <w:bCs/>
          <w:color w:val="292c2f"/>
        </w:rPr>
        <w:t xml:space="preserve">. </w:t>
      </w:r>
      <w:r>
        <w:rPr>
          <w:b/>
          <w:bCs/>
          <w:color w:val="292c2f"/>
        </w:rPr>
        <w:t xml:space="preserve">В Росреестре обсудили стратегию развития ППК «Роскадастр» до 2030 года</w:t>
      </w:r>
      <w:r>
        <w:rPr>
          <w:b/>
          <w:bCs/>
          <w:color w:val="292c2f"/>
        </w:rPr>
        <w:t xml:space="preserve">.</w:t>
      </w:r>
      <w:r>
        <w:rPr>
          <w:b/>
          <w:color w:val="292c2f"/>
        </w:rPr>
      </w:r>
      <w:r>
        <w:rPr>
          <w:b/>
          <w:color w:val="292c2f"/>
        </w:rPr>
      </w:r>
    </w:p>
    <w:p>
      <w:pPr>
        <w:pStyle w:val="954"/>
        <w:rPr>
          <w:color w:val="292c2f"/>
        </w:rPr>
      </w:pPr>
      <w:r>
        <w:rPr>
          <w:b w:val="0"/>
          <w:bCs w:val="0"/>
          <w:color w:val="292c2f"/>
        </w:rPr>
        <w:t xml:space="preserve">Комитет Государственной Думы по вопросам собственности, земельным и имущественным отношениям во главе с </w:t>
      </w:r>
      <w:r>
        <w:rPr>
          <w:b w:val="0"/>
          <w:bCs w:val="0"/>
          <w:color w:val="292c2f"/>
        </w:rPr>
        <w:t xml:space="preserve">председателем Сергеем Гавриловым провёл в Росреестре выездное заседание, посвящённое обсуждению Стратегии развития ППК «Роскадастр» на период 2024 – 2030 гг. Кроме того, обсуждался ряд законопроектов, подготовленных к рассмотрению Госдумой в первом чтении.</w:t>
      </w:r>
      <w:r>
        <w:rPr>
          <w:color w:val="292c2f"/>
        </w:rPr>
      </w:r>
      <w:r>
        <w:rPr>
          <w:color w:val="292c2f"/>
        </w:rPr>
      </w:r>
    </w:p>
    <w:p>
      <w:pPr>
        <w:pStyle w:val="954"/>
        <w:rPr>
          <w:color w:val="292c2f"/>
        </w:rPr>
      </w:pPr>
      <w:r>
        <w:rPr>
          <w:b w:val="0"/>
          <w:bCs w:val="0"/>
          <w:color w:val="292c2f"/>
        </w:rPr>
        <w:t xml:space="preserve">Участие в заседании приняли руководитель</w:t>
      </w:r>
      <w:r>
        <w:rPr>
          <w:b w:val="0"/>
          <w:bCs w:val="0"/>
          <w:color w:val="292c2f"/>
        </w:rPr>
        <w:t xml:space="preserve"> Росреестра Олег Скуфинский и его заместители, генеральный директор ППК «Роскадастр» Владислав Жданов, а также представители филиала ППК «Роскадастр» ЦИТ «Роскадастр-Инфотех», комитета Госдумы по строительству и жилищно-коммунальному хозяйству и ОАО «РЖД».</w:t>
      </w:r>
      <w:r>
        <w:rPr>
          <w:color w:val="292c2f"/>
        </w:rPr>
      </w:r>
      <w:r>
        <w:rPr>
          <w:color w:val="292c2f"/>
        </w:rPr>
      </w:r>
    </w:p>
    <w:p>
      <w:pPr>
        <w:pStyle w:val="954"/>
        <w:rPr>
          <w:color w:val="292c2f"/>
        </w:rPr>
      </w:pPr>
      <w:r>
        <w:rPr>
          <w:b w:val="0"/>
          <w:bCs w:val="0"/>
          <w:color w:val="292c2f"/>
        </w:rPr>
        <w:t xml:space="preserve">Как отметил Сергей Гаврилов, ППК «Роскадастр» за сравнительно короткий срок продемонстрировала хорошие показатели, в том числе за счёт высококвалифицированных кадров и слаженной командной работы.</w:t>
      </w:r>
      <w:r>
        <w:rPr>
          <w:color w:val="292c2f"/>
        </w:rPr>
      </w:r>
      <w:r>
        <w:rPr>
          <w:color w:val="292c2f"/>
        </w:rPr>
      </w:r>
    </w:p>
    <w:p>
      <w:pPr>
        <w:pStyle w:val="954"/>
        <w:rPr>
          <w:color w:val="292c2f"/>
        </w:rPr>
      </w:pPr>
      <w:r>
        <w:rPr>
          <w:b w:val="0"/>
          <w:bCs w:val="0"/>
          <w:color w:val="292c2f"/>
        </w:rPr>
        <w:t xml:space="preserve">«Для граждан и бизнеса важно обеспечить качественный инструментарий для повышения эффективности</w:t>
      </w:r>
      <w:r>
        <w:rPr>
          <w:b w:val="0"/>
          <w:bCs w:val="0"/>
          <w:color w:val="292c2f"/>
        </w:rPr>
        <w:t xml:space="preserve"> землепользования. Это должно быть наше конкурентное преимущество. Хочу отметить исключительный уровень работ, проведённых совместно с Росреестром и ППК «Роскадастр» в сфере управления недвижимостью и кадастровым учётом. Существенно сокращены сроки регистр</w:t>
      </w:r>
      <w:r>
        <w:rPr>
          <w:b w:val="0"/>
          <w:bCs w:val="0"/>
          <w:color w:val="292c2f"/>
        </w:rPr>
        <w:t xml:space="preserve">ации ипотечных сделок, что позволило гражданам и банкам ускорить процесс приобретения жилья. Значительно уменьшился процент приостановлений при регистрации прав - особенно в случаях, связанных с социально значимыми объектами, инвестпроектами и многоквартир</w:t>
      </w:r>
      <w:r>
        <w:rPr>
          <w:b w:val="0"/>
          <w:bCs w:val="0"/>
          <w:color w:val="292c2f"/>
        </w:rPr>
        <w:t xml:space="preserve">ными домами. Введена в эксплуатацию Национальная система пространственных данных – граждане и бизнес получили доступ к цифровым сервисам и инструментам для быстрого и удобного получения услуг в сфере земли и недвижимости», - отметил глава комитета Госдумы.</w:t>
      </w:r>
      <w:r>
        <w:rPr>
          <w:color w:val="292c2f"/>
        </w:rPr>
      </w:r>
      <w:r>
        <w:rPr>
          <w:color w:val="292c2f"/>
        </w:rPr>
      </w:r>
    </w:p>
    <w:p>
      <w:pPr>
        <w:pStyle w:val="954"/>
        <w:rPr>
          <w:color w:val="292c2f"/>
        </w:rPr>
      </w:pPr>
      <w:r>
        <w:rPr>
          <w:b w:val="0"/>
          <w:bCs w:val="0"/>
          <w:color w:val="292c2f"/>
        </w:rPr>
        <w:t xml:space="preserve">Также, по его словам, продолжается работа по совершенствованию законодательной базы в целях оптимизации деятельности ППК «Роскадастр». В 2024 году вступил в силу закон о наделении компании полномочиями по выполнению комплексных кадастровых работ за </w:t>
      </w:r>
      <w:r>
        <w:rPr>
          <w:b w:val="0"/>
          <w:bCs w:val="0"/>
          <w:color w:val="292c2f"/>
        </w:rPr>
        <w:t xml:space="preserve">счёт федерального бюджета. Это создало правовую основу для более системной работы по уточнению границ земельных участков - теперь проще вводить земли в хозяйственный оборот. Кроме того, в Госдуму внесены законопроекты, расширяющие функционал компании. Сред</w:t>
      </w:r>
      <w:r>
        <w:rPr>
          <w:b w:val="0"/>
          <w:bCs w:val="0"/>
          <w:color w:val="292c2f"/>
        </w:rPr>
        <w:t xml:space="preserve">и них предложения о передаче ППК полномочий по ведению фонда данных государственной кадастровой оценки и мониторингу кадастровой стоимости. Это позволит ускорить обновление кадастровых данных, исключить устаревшую информацию и сократить вероятность ошибок </w:t>
      </w:r>
      <w:r>
        <w:rPr>
          <w:b w:val="0"/>
          <w:bCs w:val="0"/>
          <w:color w:val="292c2f"/>
        </w:rPr>
        <w:t xml:space="preserve">при расчётах налоговой нагрузки на недвижимость. В результате собственники получат более точные сведения о стоимости своих объектов, органы власти - актуальные данные для планирования развития территорий, а рынок недвижимости - понятные условия для сделок.</w:t>
      </w:r>
      <w:r>
        <w:rPr>
          <w:color w:val="292c2f"/>
        </w:rPr>
      </w:r>
      <w:r>
        <w:rPr>
          <w:color w:val="292c2f"/>
        </w:rPr>
      </w:r>
    </w:p>
    <w:p>
      <w:pPr>
        <w:pStyle w:val="954"/>
        <w:rPr>
          <w:color w:val="292c2f"/>
        </w:rPr>
      </w:pPr>
      <w:r>
        <w:rPr>
          <w:b w:val="0"/>
          <w:bCs w:val="0"/>
          <w:color w:val="292c2f"/>
        </w:rPr>
        <w:t xml:space="preserve">«Публично-правовая компания «Роскадастр» создана в 2022 году в рамках масштабной работы по оптимизац</w:t>
      </w:r>
      <w:r>
        <w:rPr>
          <w:b w:val="0"/>
          <w:bCs w:val="0"/>
          <w:color w:val="292c2f"/>
        </w:rPr>
        <w:t xml:space="preserve">ии государственного управления в сфере земли и недвижимости. Реорганизация действовавших ранее двух учреждений и двух акционерных обществ была необходима, поскольку их функции часто дублировались, а полномочия были ограничены отраслевой спецификой. Это пре</w:t>
      </w:r>
      <w:r>
        <w:rPr>
          <w:b w:val="0"/>
          <w:bCs w:val="0"/>
          <w:color w:val="292c2f"/>
        </w:rPr>
        <w:t xml:space="preserve">пятствовало реализации масштабных планов по цифровизации геоданных, а также порождало неэффективные производственные издержки. Благодаря поддержке наших коллег-депутатов в беспрецедентно сжатые сроки была разработана и утверждена необходимая нормативная ба</w:t>
      </w:r>
      <w:r>
        <w:rPr>
          <w:b w:val="0"/>
          <w:bCs w:val="0"/>
          <w:color w:val="292c2f"/>
        </w:rPr>
        <w:t xml:space="preserve">за, создан Интеграционный комитет. Результатом этой работы стало создание с 01.01.2024 г. одного предприятия полного цикла. На компанию возложены важные задачи по разработке и сопровождению информационных систем Росреестра, формированию пространственных да</w:t>
      </w:r>
      <w:r>
        <w:rPr>
          <w:b w:val="0"/>
          <w:bCs w:val="0"/>
          <w:color w:val="292c2f"/>
        </w:rPr>
        <w:t xml:space="preserve">нных, развитию сервисов и услуг для граждан, бизнеса и государства. Сегодня нам необходимо выстроить эффективную совместную работу, чтобы прийти к целевой модели и реализовать все задачи, поставленные руководством страны», - сказал руководитель Росреестра.</w:t>
      </w:r>
      <w:r>
        <w:rPr>
          <w:color w:val="292c2f"/>
        </w:rPr>
      </w:r>
      <w:r>
        <w:rPr>
          <w:color w:val="292c2f"/>
        </w:rPr>
      </w:r>
    </w:p>
    <w:p>
      <w:pPr>
        <w:pStyle w:val="954"/>
        <w:rPr>
          <w:color w:val="292c2f"/>
        </w:rPr>
      </w:pPr>
      <w:r>
        <w:rPr>
          <w:b w:val="0"/>
          <w:bCs w:val="0"/>
          <w:color w:val="292c2f"/>
        </w:rPr>
        <w:t xml:space="preserve">В связи с завершением мероприяти</w:t>
      </w:r>
      <w:r>
        <w:rPr>
          <w:b w:val="0"/>
          <w:bCs w:val="0"/>
          <w:color w:val="292c2f"/>
        </w:rPr>
        <w:t xml:space="preserve">й по интеграции АО «Роскартография» в филиальную сеть компании проведена оптимизация структуры, штатной численности и имущественного комплекса. Сегодня в структуру Роскадастра входят 104 филиала в субъектах РФ, из них четыре – на территории новых регионов.</w:t>
      </w:r>
      <w:r>
        <w:rPr>
          <w:color w:val="292c2f"/>
        </w:rPr>
      </w:r>
      <w:r>
        <w:rPr>
          <w:color w:val="292c2f"/>
        </w:rPr>
      </w:r>
    </w:p>
    <w:p>
      <w:pPr>
        <w:pStyle w:val="954"/>
        <w:rPr>
          <w:color w:val="292c2f"/>
        </w:rPr>
      </w:pPr>
      <w:r>
        <w:rPr>
          <w:b w:val="0"/>
          <w:bCs w:val="0"/>
          <w:color w:val="292c2f"/>
        </w:rPr>
        <w:t xml:space="preserve">В ходе заседания представлен доработанный проект Стратегии развития ППК «Роскадастр» на период 2024-2030 гг. с прогноз</w:t>
      </w:r>
      <w:r>
        <w:rPr>
          <w:b w:val="0"/>
          <w:bCs w:val="0"/>
          <w:color w:val="292c2f"/>
        </w:rPr>
        <w:t xml:space="preserve">ом до 2036 года, которая направлена на достижение национальных целей, обеспечение комфортной и безопасной среды для жизни, технологическое лидерство, а также цифровую трансформацию государственного и муниципального управления, экономики и социальной сферы.</w:t>
      </w:r>
      <w:r>
        <w:rPr>
          <w:color w:val="292c2f"/>
        </w:rPr>
      </w:r>
      <w:r>
        <w:rPr>
          <w:color w:val="292c2f"/>
        </w:rPr>
      </w:r>
    </w:p>
    <w:p>
      <w:pPr>
        <w:pStyle w:val="954"/>
        <w:rPr>
          <w:color w:val="292c2f"/>
        </w:rPr>
      </w:pPr>
      <w:r>
        <w:rPr>
          <w:b w:val="0"/>
          <w:bCs w:val="0"/>
          <w:color w:val="292c2f"/>
        </w:rPr>
        <w:t xml:space="preserve">«В результате реализации Стратегии компания планирует увеличить долю на рынке услуг в сфере земельно-имущественных отношений до 38%, выявить для вовлечения в экономический оборот 200 тыс. га земель, а также на 100% завершить создание Единой электронно</w:t>
      </w:r>
      <w:r>
        <w:rPr>
          <w:b w:val="0"/>
          <w:bCs w:val="0"/>
          <w:color w:val="292c2f"/>
        </w:rPr>
        <w:t xml:space="preserve">й картографической основы. Отдельный блок работ предусмотрен в рамках реализации показателя «Социальная газификация» Национального проекта «Инфраструктура для жизни». Компания продолжит проведение кадастровых работ в целях газификации садоводческих некомме</w:t>
      </w:r>
      <w:r>
        <w:rPr>
          <w:b w:val="0"/>
          <w:bCs w:val="0"/>
          <w:color w:val="292c2f"/>
        </w:rPr>
        <w:t xml:space="preserve">рческих товариществ. Также планируется дальнейшее масштабирование процедуры сплошной инвентаризации объектов недвижимости на всей территории Российской Федерации, определив приоритетом 2155 опорных населенных пунктов, включенных в нацпроект. В том числе за</w:t>
      </w:r>
      <w:r>
        <w:rPr>
          <w:b w:val="0"/>
          <w:bCs w:val="0"/>
          <w:color w:val="292c2f"/>
        </w:rPr>
        <w:t xml:space="preserve">планировано размещение 200 мастер-планов в федеральной государственной географической информационной системе «Единая цифровая платформа «Национальная система пространственных данных» (ФГИС ЕЦП НСПД)», - сказал гендиректор ППК «Роскадастр» Владислав Жданов.</w:t>
      </w:r>
      <w:r>
        <w:rPr>
          <w:color w:val="292c2f"/>
        </w:rPr>
      </w:r>
      <w:r>
        <w:rPr>
          <w:color w:val="292c2f"/>
        </w:rPr>
      </w:r>
    </w:p>
    <w:p>
      <w:pPr>
        <w:pStyle w:val="954"/>
        <w:rPr>
          <w:color w:val="292c2f"/>
        </w:rPr>
      </w:pPr>
      <w:r>
        <w:rPr>
          <w:b w:val="0"/>
          <w:bCs w:val="0"/>
          <w:color w:val="292c2f"/>
        </w:rPr>
        <w:t xml:space="preserve">Кл</w:t>
      </w:r>
      <w:r>
        <w:rPr>
          <w:b w:val="0"/>
          <w:bCs w:val="0"/>
          <w:color w:val="292c2f"/>
        </w:rPr>
        <w:t xml:space="preserve">ючевым направлением Стратегии компании является развитие геоинформационных технологий. ППК «Роскадастр» выступает ИТ-оператором и интегратором информационных систем Росреестра. Начиная с 2022 года, большая работа проведена в области создания ФГИС ЕЦП НСПД.</w:t>
      </w:r>
      <w:r>
        <w:rPr>
          <w:color w:val="292c2f"/>
        </w:rPr>
      </w:r>
      <w:r>
        <w:rPr>
          <w:color w:val="292c2f"/>
        </w:rPr>
      </w:r>
    </w:p>
    <w:p>
      <w:pPr>
        <w:pStyle w:val="954"/>
        <w:rPr>
          <w:color w:val="292c2f"/>
        </w:rPr>
      </w:pPr>
      <w:r>
        <w:rPr>
          <w:b w:val="0"/>
          <w:bCs w:val="0"/>
          <w:color w:val="292c2f"/>
        </w:rPr>
        <w:t xml:space="preserve">В 2023-2024 гг. проведена опытная эксплуатация 16 подсистем и 20 сервисов, обеспечено информационное взаимодействие с 20 информационными системами федеральных и 55 системами региональных органов исполнительной власти. В проект уже вовлечены 53 региона </w:t>
      </w:r>
      <w:r>
        <w:rPr>
          <w:b w:val="0"/>
          <w:bCs w:val="0"/>
          <w:color w:val="292c2f"/>
        </w:rPr>
        <w:t xml:space="preserve">РФ, 22 из них присоединились к нему в 2024 году. Кроме того, в декабре прошлого года введена в эксплуатацию вторая очередь ФГИС ЕЦП НСПД - на Единую цифровую платформу перенесены Публичная кадастровая карта и Фонд данных государственной кадастровой оценки.</w:t>
      </w:r>
      <w:r>
        <w:rPr>
          <w:color w:val="292c2f"/>
        </w:rPr>
      </w:r>
      <w:r>
        <w:rPr>
          <w:color w:val="292c2f"/>
        </w:rPr>
      </w:r>
    </w:p>
    <w:p>
      <w:pPr>
        <w:pStyle w:val="954"/>
        <w:rPr>
          <w:color w:val="292c2f"/>
        </w:rPr>
      </w:pPr>
      <w:r>
        <w:rPr>
          <w:b w:val="0"/>
          <w:bCs w:val="0"/>
          <w:color w:val="292c2f"/>
        </w:rPr>
        <w:t xml:space="preserve">Также на базе цифровой платформы НСПД разработан картографический компонент по работе с пространственными данными. Раньше органы госуда</w:t>
      </w:r>
      <w:r>
        <w:rPr>
          <w:b w:val="0"/>
          <w:bCs w:val="0"/>
          <w:color w:val="292c2f"/>
        </w:rPr>
        <w:t xml:space="preserve">рственной власти на всех уровнях тратили средства и время для того, чтобы создать свои информационные системы и сделать в них пространственный анализ. Теперь в этом нет необходимости. С 1 января 2025 года картографический сервис ФГИС ЕЦП НСПД может встраив</w:t>
      </w:r>
      <w:r>
        <w:rPr>
          <w:b w:val="0"/>
          <w:bCs w:val="0"/>
          <w:color w:val="292c2f"/>
        </w:rPr>
        <w:t xml:space="preserve">аться в собственные информационные системы органов государственной власти и органов местного самоуправления, благодаря чему они могут получить доступ к функционалу и всему множеству данных ФГИС ЕЦП НСПД, а главное – использовать её картографическую основу.</w:t>
      </w:r>
      <w:r>
        <w:rPr>
          <w:color w:val="292c2f"/>
        </w:rPr>
      </w:r>
      <w:r>
        <w:rPr>
          <w:color w:val="292c2f"/>
        </w:rPr>
      </w:r>
    </w:p>
    <w:p>
      <w:pPr>
        <w:pStyle w:val="954"/>
        <w:rPr>
          <w:color w:val="292c2f"/>
        </w:rPr>
      </w:pPr>
      <w:r>
        <w:rPr>
          <w:b w:val="0"/>
          <w:bCs w:val="0"/>
          <w:color w:val="292c2f"/>
        </w:rPr>
        <w:t xml:space="preserve">В рамках третьей очереди в 2025-2026 гг. к проекту подключатся еще 10 регионов.</w:t>
      </w:r>
      <w:r>
        <w:rPr>
          <w:color w:val="292c2f"/>
        </w:rPr>
      </w:r>
      <w:r>
        <w:rPr>
          <w:color w:val="292c2f"/>
        </w:rPr>
      </w:r>
    </w:p>
    <w:p>
      <w:pPr>
        <w:pStyle w:val="954"/>
        <w:rPr>
          <w:color w:val="292c2f"/>
        </w:rPr>
      </w:pPr>
      <w:r>
        <w:rPr>
          <w:b w:val="0"/>
          <w:bCs w:val="0"/>
          <w:color w:val="292c2f"/>
        </w:rPr>
        <w:t xml:space="preserve">Также участники заседания обсудили совершенствование законодательства в сфере земли и недвижимости. Статс-секретарь – заместитель руководителя Росреестра Алексей Бутовецкий представил и попрос</w:t>
      </w:r>
      <w:r>
        <w:rPr>
          <w:b w:val="0"/>
          <w:bCs w:val="0"/>
          <w:color w:val="292c2f"/>
        </w:rPr>
        <w:t xml:space="preserve">ил парламентариев поддержать два законопроекта, которые готовятся к рассмотрению Госдумой в первом чтении. Законопроекты разработаны ведомством в целях повышения эффективности оборота государственных земель и предусматривают поправки в Земельный кодекс РФ.</w:t>
      </w:r>
      <w:r>
        <w:rPr>
          <w:color w:val="292c2f"/>
        </w:rPr>
      </w:r>
      <w:r>
        <w:rPr>
          <w:color w:val="292c2f"/>
        </w:rPr>
      </w:r>
    </w:p>
    <w:p>
      <w:pPr>
        <w:pStyle w:val="954"/>
        <w:rPr>
          <w:color w:val="292c2f"/>
        </w:rPr>
      </w:pPr>
      <w:r>
        <w:rPr>
          <w:b w:val="0"/>
          <w:bCs w:val="0"/>
          <w:color w:val="292c2f"/>
        </w:rPr>
        <w:t xml:space="preserve">«Первый из них решает многолетнюю проблему соразмерности земельного участка объекту недвижимости при выкупе без торгов собственником объекта. К примеру, когда человек </w:t>
      </w:r>
      <w:r>
        <w:rPr>
          <w:b w:val="0"/>
          <w:bCs w:val="0"/>
          <w:color w:val="292c2f"/>
        </w:rPr>
        <w:t xml:space="preserve">строит на участке маленький сарайчик, а ему по льготной стоимости предоставляют десятки гектаров земли. До сих пор не выработано единых критериев относительно того, как собственнику здания (сооружения) реализовывать исключительное право выкупа или аренды. </w:t>
      </w:r>
      <w:r>
        <w:rPr>
          <w:b w:val="0"/>
          <w:bCs w:val="0"/>
          <w:color w:val="292c2f"/>
        </w:rPr>
        <w:t xml:space="preserve">Мы предлагаем предусмотреть правило, что в случае выкупа земельного участка для ИЖС или садоводства такой участок должен быть застроен не менее чем на 5% - причем не сараем, а основным объектом. А для остальных целей – на 10%», - сказал Алексей Бутовецкий.</w:t>
      </w:r>
      <w:r>
        <w:rPr>
          <w:color w:val="292c2f"/>
        </w:rPr>
      </w:r>
      <w:r>
        <w:rPr>
          <w:color w:val="292c2f"/>
        </w:rPr>
      </w:r>
    </w:p>
    <w:p>
      <w:pPr>
        <w:pStyle w:val="954"/>
        <w:rPr>
          <w:color w:val="292c2f"/>
        </w:rPr>
      </w:pPr>
      <w:r>
        <w:rPr>
          <w:b w:val="0"/>
          <w:bCs w:val="0"/>
          <w:color w:val="292c2f"/>
        </w:rPr>
        <w:t xml:space="preserve">Второй законопроект призван упростить порядок перераспределения государственных и частных участков в случаях, когда есть вклинивание, изломанность границ, чересполосица и т</w:t>
      </w:r>
      <w:r>
        <w:rPr>
          <w:b w:val="0"/>
          <w:bCs w:val="0"/>
          <w:color w:val="292c2f"/>
        </w:rPr>
        <w:t xml:space="preserve">.д. Поправки разработаны в интересах представителей бизнес-сообщества, особенно владельцев небольших магазинов и промышленных предприятий. Сегодня, чтобы осуществить перераспределение земельных участков, им приходится разрабатывать проект межевания, при эт</w:t>
      </w:r>
      <w:r>
        <w:rPr>
          <w:b w:val="0"/>
          <w:bCs w:val="0"/>
          <w:color w:val="292c2f"/>
        </w:rPr>
        <w:t xml:space="preserve">ом минимальные затраты на него составляют порядка 450-500 тыс. руб. Законопроектом предлагается снять этот барьер, чтобы предприниматели, как и обычные граждане, могли осуществлять перераспределение в соответствии со схемой расположения земельного участка.</w:t>
      </w:r>
      <w:r>
        <w:rPr>
          <w:color w:val="292c2f"/>
        </w:rPr>
      </w:r>
      <w:r>
        <w:rPr>
          <w:color w:val="292c2f"/>
        </w:rPr>
      </w:r>
    </w:p>
    <w:p>
      <w:pPr>
        <w:pStyle w:val="954"/>
        <w:rPr>
          <w:color w:val="292c2f"/>
        </w:rPr>
      </w:pPr>
      <w:r>
        <w:rPr>
          <w:b w:val="0"/>
          <w:bCs w:val="0"/>
          <w:color w:val="292c2f"/>
        </w:rPr>
        <w:t xml:space="preserve">В ходе заседания депутаты поддержали оба законопроекта.</w:t>
      </w:r>
      <w:r>
        <w:rPr>
          <w:color w:val="292c2f"/>
        </w:rPr>
      </w:r>
      <w:r>
        <w:rPr>
          <w:color w:val="292c2f"/>
        </w:rPr>
      </w:r>
    </w:p>
    <w:p>
      <w:pPr>
        <w:pStyle w:val="954"/>
        <w:rPr>
          <w:color w:val="292c2f"/>
        </w:rPr>
      </w:pPr>
      <w:r>
        <w:rPr>
          <w:b w:val="0"/>
          <w:bCs w:val="0"/>
          <w:color w:val="292c2f"/>
        </w:rPr>
        <w:t xml:space="preserve">В завершение визита стороны договорились о дальнейшей системной работе и конструктивном взаимодействии в целях совершенствования процесса предоставления услуг и законодательства в сфере земли и недвижимости.</w:t>
      </w:r>
      <w:r>
        <w:rPr>
          <w:color w:val="292c2f"/>
        </w:rPr>
      </w:r>
      <w:r>
        <w:rPr>
          <w:color w:val="292c2f"/>
        </w:rPr>
      </w:r>
    </w:p>
    <w:p>
      <w:pPr>
        <w:pStyle w:val="954"/>
        <w:rPr>
          <w:color w:val="292c2f"/>
        </w:rPr>
      </w:pPr>
      <w:r>
        <w:rPr>
          <w:b/>
          <w:bCs/>
          <w:color w:val="292c2f"/>
        </w:rPr>
      </w:r>
      <w:r>
        <w:rPr>
          <w:color w:val="292c2f"/>
        </w:rPr>
      </w:r>
      <w:r>
        <w:rPr>
          <w:color w:val="292c2f"/>
        </w:rPr>
      </w:r>
    </w:p>
    <w:p>
      <w:pPr>
        <w:pStyle w:val="954"/>
        <w:rPr>
          <w:b/>
          <w:color w:val="292c2f"/>
        </w:rPr>
      </w:pPr>
      <w:r>
        <w:rPr>
          <w:b/>
          <w:bCs/>
          <w:color w:val="292c2f"/>
        </w:rPr>
        <w:t xml:space="preserve">3. Марат Хуснуллин: Количество земельных участков с учтёнными границами в России с 2020 года увеличилось до 43,5 млн.</w:t>
      </w:r>
      <w:r>
        <w:rPr>
          <w:b/>
          <w:color w:val="292c2f"/>
        </w:rPr>
      </w:r>
      <w:r>
        <w:rPr>
          <w:b/>
          <w:color w:val="292c2f"/>
        </w:rPr>
      </w:r>
    </w:p>
    <w:p>
      <w:pPr>
        <w:pStyle w:val="954"/>
        <w:rPr>
          <w:color w:val="292c2f"/>
        </w:rPr>
      </w:pPr>
      <w:r>
        <w:rPr>
          <w:b w:val="0"/>
          <w:bCs w:val="0"/>
          <w:color w:val="292c2f"/>
        </w:rPr>
        <w:t xml:space="preserve">Правительство продолжает комплексную рабо</w:t>
      </w:r>
      <w:r>
        <w:rPr>
          <w:b w:val="0"/>
          <w:bCs w:val="0"/>
          <w:color w:val="292c2f"/>
        </w:rPr>
        <w:t xml:space="preserve">ту по повышению качества данных Единого государственного реестра недвижимости (ЕГРН). С 2020 года количество земельных участков без учтённых границ на территории России сократилось на 9,1 млн, сообщил Заместитель Председателя Правительства Марат Хуснуллин.</w:t>
      </w:r>
      <w:r>
        <w:rPr>
          <w:color w:val="292c2f"/>
        </w:rPr>
      </w:r>
      <w:r>
        <w:rPr>
          <w:color w:val="292c2f"/>
        </w:rPr>
      </w:r>
    </w:p>
    <w:p>
      <w:pPr>
        <w:pStyle w:val="954"/>
        <w:rPr>
          <w:color w:val="292c2f"/>
        </w:rPr>
      </w:pPr>
      <w:r>
        <w:rPr>
          <w:b w:val="0"/>
          <w:bCs w:val="0"/>
          <w:color w:val="292c2f"/>
        </w:rPr>
        <w:t xml:space="preserve">Внесение в ЕГРН сведений о границах земельных участков, а также об администр</w:t>
      </w:r>
      <w:r>
        <w:rPr>
          <w:b w:val="0"/>
          <w:bCs w:val="0"/>
          <w:color w:val="292c2f"/>
        </w:rPr>
        <w:t xml:space="preserve">ативных границах и границах территориальных зон проводится Росреестром в рамках проекта «Полный и точный реестр», который реализуется с 2020 года по указанию Президента России об обеспечении достоверности сведений в государственных информационных ресурсах.</w:t>
      </w:r>
      <w:r>
        <w:rPr>
          <w:color w:val="292c2f"/>
        </w:rPr>
      </w:r>
      <w:r>
        <w:rPr>
          <w:color w:val="292c2f"/>
        </w:rPr>
      </w:r>
    </w:p>
    <w:p>
      <w:pPr>
        <w:pStyle w:val="954"/>
        <w:rPr>
          <w:color w:val="292c2f"/>
        </w:rPr>
      </w:pPr>
      <w:r>
        <w:rPr>
          <w:b w:val="0"/>
          <w:bCs w:val="0"/>
          <w:color w:val="292c2f"/>
        </w:rPr>
        <w:t xml:space="preserve">«От наполнения ЕГРН полными и точными сведениями зависят эффект</w:t>
      </w:r>
      <w:r>
        <w:rPr>
          <w:b w:val="0"/>
          <w:bCs w:val="0"/>
          <w:color w:val="292c2f"/>
        </w:rPr>
        <w:t xml:space="preserve">ивность и качество предоставления услуг в сфере земли и недвижимости, а также пространственное развитие страны. Результат этой работы в первую очередь зависит от активности и вовлечённости в процессы на уровне регионов. В связи с этим выстроено взаимодейст</w:t>
      </w:r>
      <w:r>
        <w:rPr>
          <w:b w:val="0"/>
          <w:bCs w:val="0"/>
          <w:color w:val="292c2f"/>
        </w:rPr>
        <w:t xml:space="preserve">вие с аппаратами полпредов Президента России в федеральных округах и с главами субъектов. Сегодня в ЕГРН содержится информация о 60,9 млн земельных участков на территории страны, из них 43,5 млн (71,5%) имеют координатное описание границ. С 2020 года доля </w:t>
      </w:r>
      <w:r>
        <w:rPr>
          <w:b w:val="0"/>
          <w:bCs w:val="0"/>
          <w:color w:val="292c2f"/>
        </w:rPr>
        <w:t xml:space="preserve">участков без чётко определённых границ сократилась на 9,1 млн. В рамках госпрограммы “Национальная система пространственных данных„ к концу 2025 года планируем увеличить долю участков с границами до 72%, а концу 2030-го – до 95%», – сказал Марат Хуснуллин.</w:t>
      </w:r>
      <w:r>
        <w:rPr>
          <w:color w:val="292c2f"/>
        </w:rPr>
      </w:r>
      <w:r>
        <w:rPr>
          <w:color w:val="292c2f"/>
        </w:rPr>
      </w:r>
    </w:p>
    <w:p>
      <w:pPr>
        <w:pStyle w:val="954"/>
        <w:rPr>
          <w:color w:val="292c2f"/>
        </w:rPr>
      </w:pPr>
      <w:r>
        <w:rPr>
          <w:b w:val="0"/>
          <w:bCs w:val="0"/>
          <w:color w:val="292c2f"/>
        </w:rPr>
        <w:t xml:space="preserve">По слова</w:t>
      </w:r>
      <w:r>
        <w:rPr>
          <w:b w:val="0"/>
          <w:bCs w:val="0"/>
          <w:color w:val="292c2f"/>
        </w:rPr>
        <w:t xml:space="preserve">м вице-премьера, наибольший прирост количества земельных участков с координатным описанием границ зафиксирован в десяти регионах. В числе лидеров – Республика Татарстан, Республика Крым и Севастополь, Московская, Свердловская области и Ставропольский край.</w:t>
      </w:r>
      <w:r>
        <w:rPr>
          <w:color w:val="292c2f"/>
        </w:rPr>
      </w:r>
      <w:r>
        <w:rPr>
          <w:color w:val="292c2f"/>
        </w:rPr>
      </w:r>
    </w:p>
    <w:p>
      <w:pPr>
        <w:pStyle w:val="954"/>
        <w:rPr>
          <w:color w:val="292c2f"/>
        </w:rPr>
      </w:pPr>
      <w:r>
        <w:rPr>
          <w:b w:val="0"/>
          <w:bCs w:val="0"/>
          <w:color w:val="292c2f"/>
        </w:rPr>
        <w:t xml:space="preserve">На прирост количества земельн</w:t>
      </w:r>
      <w:r>
        <w:rPr>
          <w:b w:val="0"/>
          <w:bCs w:val="0"/>
          <w:color w:val="292c2f"/>
        </w:rPr>
        <w:t xml:space="preserve">ых участков с учтёнными границами повлияло проведение комплексных кадастровых работ. Это один из эффективных механизмов по наполнению ЕГРН полными и точными данными. Так, за последние пять лет такие работы выполнены в отношении 4 млн объектов недвижимости.</w:t>
      </w:r>
      <w:r>
        <w:rPr>
          <w:color w:val="292c2f"/>
        </w:rPr>
      </w:r>
      <w:r>
        <w:rPr>
          <w:color w:val="292c2f"/>
        </w:rPr>
      </w:r>
    </w:p>
    <w:p>
      <w:pPr>
        <w:pStyle w:val="954"/>
        <w:rPr>
          <w:color w:val="292c2f"/>
        </w:rPr>
      </w:pPr>
      <w:r>
        <w:rPr>
          <w:b w:val="0"/>
          <w:bCs w:val="0"/>
          <w:color w:val="292c2f"/>
        </w:rPr>
        <w:t xml:space="preserve">«Значительному росту показателей по внесению в ЕГРН границ способствовало принятие в августе 2023 года закона, направлен</w:t>
      </w:r>
      <w:r>
        <w:rPr>
          <w:b w:val="0"/>
          <w:bCs w:val="0"/>
          <w:color w:val="292c2f"/>
        </w:rPr>
        <w:t xml:space="preserve">ного на устранение пересечений границ населённых пунктов, территориальных зон, лесничеств с границами земельных участков. В рамках реализации данного закона Росреестром инициирован проект “Верификация сведений реестра границ ЕГРН„. В 2024 году мы отработал</w:t>
      </w:r>
      <w:r>
        <w:rPr>
          <w:b w:val="0"/>
          <w:bCs w:val="0"/>
          <w:color w:val="292c2f"/>
        </w:rPr>
        <w:t xml:space="preserve">и почти 3 млн пересечений (96,5%), из которых 512 тыс. устранено. 2,5 млн пересечений не подлежат корректировке в соответствии с законодательством. Оставшиеся 3,5% будут отработаны в I квартале 2025 года», – отметил руководитель Росреестра Олег Скуфинский.</w:t>
      </w:r>
      <w:r>
        <w:rPr>
          <w:color w:val="292c2f"/>
        </w:rPr>
      </w:r>
      <w:r>
        <w:rPr>
          <w:color w:val="292c2f"/>
        </w:rPr>
      </w:r>
    </w:p>
    <w:p>
      <w:pPr>
        <w:pStyle w:val="954"/>
        <w:rPr>
          <w:color w:val="292c2f"/>
        </w:rPr>
      </w:pPr>
      <w:r>
        <w:rPr>
          <w:b w:val="0"/>
          <w:bCs w:val="0"/>
          <w:color w:val="292c2f"/>
        </w:rPr>
        <w:t xml:space="preserve">Ускорению процесса внесения в ЕГРН сведений о границах земельных участков также будет способствовать вступление в силу с 1 марта этого год</w:t>
      </w:r>
      <w:r>
        <w:rPr>
          <w:b w:val="0"/>
          <w:bCs w:val="0"/>
          <w:color w:val="292c2f"/>
        </w:rPr>
        <w:t xml:space="preserve">а закона, которым предусмотрены механизмы, стимулирующие оформление земельных участков, зданий и сооружений гражданами и юридическими лицами. В частности, регистрация прав или сделок будет возможна только в отношении земельных участков с точными границами.</w:t>
      </w:r>
      <w:r>
        <w:rPr>
          <w:color w:val="292c2f"/>
        </w:rPr>
      </w:r>
      <w:r>
        <w:rPr>
          <w:color w:val="292c2f"/>
        </w:rPr>
      </w:r>
    </w:p>
    <w:p>
      <w:pPr>
        <w:pStyle w:val="954"/>
        <w:rPr>
          <w:color w:val="292c2f"/>
        </w:rPr>
      </w:pPr>
      <w:r>
        <w:rPr>
          <w:b w:val="0"/>
          <w:bCs w:val="0"/>
          <w:color w:val="292c2f"/>
        </w:rPr>
        <w:t xml:space="preserve">Марат Хуснуллин также отметил, что устойчивая динамика наблюдается по внесению в реестр недвижимости сведений о границах административно-территориальных образований. С 2020 года доля границ между субъектами Российской Федерации в</w:t>
      </w:r>
      <w:r>
        <w:rPr>
          <w:b w:val="0"/>
          <w:bCs w:val="0"/>
          <w:color w:val="292c2f"/>
        </w:rPr>
        <w:t xml:space="preserve"> ЕГРН выросла на 53% и составила 87%. Доля границ муниципальных образований, сведения о которых внесены в ЕГРН, составила 94% – на 29% больше, чем в 2020 году. Доля границ населённых пунктов достигла 78% – на 48% больше, чем в 2020 году. Существенный приро</w:t>
      </w:r>
      <w:r>
        <w:rPr>
          <w:b w:val="0"/>
          <w:bCs w:val="0"/>
          <w:color w:val="292c2f"/>
        </w:rPr>
        <w:t xml:space="preserve">ст произошёл в части внесения в ЕГРН сведений о границах территориальных зон, что является важным критерием инвестиционной привлекательности и дальнейшего развития регионов. Данный показатель составил 74%. Это на 61% больше, чем в начале 2020 года (13,4%).</w:t>
      </w:r>
      <w:r>
        <w:rPr>
          <w:color w:val="292c2f"/>
        </w:rPr>
      </w:r>
      <w:r>
        <w:rPr>
          <w:color w:val="292c2f"/>
        </w:rPr>
      </w:r>
    </w:p>
    <w:p>
      <w:pPr>
        <w:pStyle w:val="954"/>
        <w:rPr>
          <w:color w:val="292c2f"/>
        </w:rPr>
      </w:pPr>
      <w:r>
        <w:rPr>
          <w:b w:val="0"/>
          <w:bCs w:val="0"/>
          <w:color w:val="292c2f"/>
        </w:rPr>
      </w:r>
      <w:r>
        <w:rPr>
          <w:color w:val="292c2f"/>
        </w:rPr>
      </w:r>
      <w:r>
        <w:rPr>
          <w:color w:val="292c2f"/>
        </w:rPr>
      </w:r>
    </w:p>
    <w:p>
      <w:pPr>
        <w:pStyle w:val="954"/>
        <w:rPr>
          <w:b/>
          <w:color w:val="292c2f"/>
        </w:rPr>
      </w:pPr>
      <w:r>
        <w:rPr>
          <w:b/>
          <w:bCs/>
          <w:color w:val="292c2f"/>
        </w:rPr>
        <w:t xml:space="preserve">4. Более 12 тыс. сотрудников Росреестра стали слушателями лекций от Российского общества «Знание».</w:t>
      </w:r>
      <w:r>
        <w:rPr>
          <w:b/>
          <w:color w:val="292c2f"/>
        </w:rPr>
      </w:r>
      <w:r>
        <w:rPr>
          <w:b/>
          <w:color w:val="292c2f"/>
        </w:rPr>
      </w:r>
    </w:p>
    <w:p>
      <w:pPr>
        <w:pStyle w:val="954"/>
        <w:rPr>
          <w:color w:val="292c2f"/>
        </w:rPr>
      </w:pPr>
      <w:r>
        <w:rPr>
          <w:b w:val="0"/>
          <w:bCs w:val="0"/>
          <w:color w:val="292c2f"/>
        </w:rPr>
        <w:t xml:space="preserve">Общество «Знание» в рамках проекта «Знание. Государство» организовало две онлайн-лекции для сотрудников Росреестра, посвященные специфике информационного освещения специальной военной операции (СВО), а также теме преодоления стрессовых ситуаций.</w:t>
      </w:r>
      <w:r>
        <w:rPr>
          <w:color w:val="292c2f"/>
        </w:rPr>
      </w:r>
      <w:r>
        <w:rPr>
          <w:color w:val="292c2f"/>
        </w:rPr>
      </w:r>
    </w:p>
    <w:p>
      <w:pPr>
        <w:pStyle w:val="954"/>
        <w:rPr>
          <w:color w:val="292c2f"/>
        </w:rPr>
      </w:pPr>
      <w:r>
        <w:rPr>
          <w:b w:val="0"/>
          <w:bCs w:val="0"/>
          <w:color w:val="292c2f"/>
        </w:rPr>
        <w:t xml:space="preserve">Слушателями лекций «Защитники Отечества: солдаты мира и справедливости» и «Стресс как фактор развития современной личности» стали 12,7 тыс. сотрудников Росреестра из разных территориальных управлений ведомства и ППК «Роскадастра».</w:t>
      </w:r>
      <w:r>
        <w:rPr>
          <w:color w:val="292c2f"/>
        </w:rPr>
      </w:r>
      <w:r>
        <w:rPr>
          <w:color w:val="292c2f"/>
        </w:rPr>
      </w:r>
    </w:p>
    <w:p>
      <w:pPr>
        <w:pStyle w:val="954"/>
        <w:rPr>
          <w:color w:val="292c2f"/>
        </w:rPr>
      </w:pPr>
      <w:r>
        <w:rPr>
          <w:b w:val="0"/>
          <w:bCs w:val="0"/>
          <w:color w:val="292c2f"/>
        </w:rPr>
        <w:t xml:space="preserve">Спикерами стали известные эксперты в области политологии, истории и медиа. Среди них депутат Государственной Думы Олег Матвейчев, </w:t>
      </w:r>
      <w:r>
        <w:rPr>
          <w:b w:val="0"/>
          <w:bCs w:val="0"/>
          <w:color w:val="292c2f"/>
        </w:rPr>
        <w:t xml:space="preserve">специальный корреспондент телеканала «Россия 24» Александр Лукьянов, Председатель президиума общественной организации «Офицеры России», Герой Российской Федерации Сергей Липовой, клинический психолог, когнитивно-поведенческий терапевт Илья Благов и другие.</w:t>
      </w:r>
      <w:r>
        <w:rPr>
          <w:color w:val="292c2f"/>
        </w:rPr>
      </w:r>
      <w:r>
        <w:rPr>
          <w:color w:val="292c2f"/>
        </w:rPr>
      </w:r>
    </w:p>
    <w:p>
      <w:pPr>
        <w:pStyle w:val="954"/>
        <w:rPr>
          <w:color w:val="292c2f"/>
        </w:rPr>
      </w:pPr>
      <w:r>
        <w:rPr>
          <w:b w:val="0"/>
          <w:bCs w:val="0"/>
          <w:color w:val="292c2f"/>
        </w:rPr>
        <w:t xml:space="preserve">Лекции были посвящ</w:t>
      </w:r>
      <w:r>
        <w:rPr>
          <w:b w:val="0"/>
          <w:bCs w:val="0"/>
          <w:color w:val="292c2f"/>
        </w:rPr>
        <w:t xml:space="preserve">ены обсуждению ключевых вопросов современного развития общества, включая роль государства в цифровую эпоху, специфику работы военных корреспондентов, защиту от фейковых новостей в средствах массовой информации, методы и техники борьбы со стрессом и другие.</w:t>
      </w:r>
      <w:r>
        <w:rPr>
          <w:color w:val="292c2f"/>
        </w:rPr>
      </w:r>
      <w:r>
        <w:rPr>
          <w:color w:val="292c2f"/>
        </w:rPr>
      </w:r>
    </w:p>
    <w:p>
      <w:pPr>
        <w:pStyle w:val="954"/>
        <w:rPr>
          <w:color w:val="292c2f"/>
        </w:rPr>
      </w:pPr>
      <w:r>
        <w:rPr>
          <w:b w:val="0"/>
          <w:bCs w:val="0"/>
          <w:color w:val="292c2f"/>
        </w:rPr>
        <w:t xml:space="preserve">Участники имели возможность задать вопросы спикерам и обсудить актуальные проблемы, связанные с глобальными вызовами современности.</w:t>
      </w:r>
      <w:r>
        <w:rPr>
          <w:color w:val="292c2f"/>
        </w:rPr>
      </w:r>
      <w:r>
        <w:rPr>
          <w:color w:val="292c2f"/>
        </w:rPr>
      </w:r>
    </w:p>
    <w:p>
      <w:pPr>
        <w:pStyle w:val="954"/>
        <w:rPr>
          <w:color w:val="292c2f"/>
        </w:rPr>
      </w:pPr>
      <w:r>
        <w:rPr>
          <w:b w:val="0"/>
          <w:bCs w:val="0"/>
          <w:color w:val="292c2f"/>
        </w:rPr>
        <w:t xml:space="preserve">Проект «Знание. Государство» направлен на распространение знаний об истории России и достижениях страны, а также на духовно-нравственное, патриотическое и личностное развитие государственных служащих.</w:t>
      </w:r>
      <w:r>
        <w:rPr>
          <w:color w:val="292c2f"/>
        </w:rPr>
      </w:r>
      <w:r>
        <w:rPr>
          <w:color w:val="292c2f"/>
        </w:rPr>
      </w:r>
    </w:p>
    <w:p>
      <w:pPr>
        <w:pStyle w:val="954"/>
        <w:spacing w:after="0" w:afterAutospacing="0"/>
        <w:rPr>
          <w:b w:val="0"/>
          <w:bCs w:val="0"/>
          <w:color w:val="292c2f"/>
          <w:highlight w:val="none"/>
        </w:rPr>
      </w:pPr>
      <w:r>
        <w:rPr>
          <w:b w:val="0"/>
          <w:bCs w:val="0"/>
          <w:color w:val="292c2f"/>
        </w:rPr>
        <w:t xml:space="preserve">В рамках проекта проводится серия просветительских прямых эфиров, благодаря которым сотрудники ведомств со всей страны получают актуальную и достоверную информацию и могут лучше ориентироваться в текущих событиях.</w:t>
      </w:r>
      <w:r>
        <w:rPr>
          <w:b w:val="0"/>
          <w:bCs w:val="0"/>
          <w:color w:val="292c2f"/>
          <w:highlight w:val="none"/>
        </w:rPr>
      </w:r>
      <w:r>
        <w:rPr>
          <w:b w:val="0"/>
          <w:bCs w:val="0"/>
          <w:color w:val="292c2f"/>
          <w:highlight w:val="none"/>
        </w:rPr>
      </w:r>
    </w:p>
    <w:p>
      <w:pPr>
        <w:spacing w:after="0" w:afterAutospacing="0"/>
        <w:rPr>
          <w:b w:val="0"/>
          <w:bCs w:val="0"/>
          <w:color w:val="292c2f"/>
        </w:rPr>
      </w:pPr>
      <w:r>
        <w:rPr>
          <w:b w:val="0"/>
          <w:bCs w:val="0"/>
          <w:color w:val="292c2f"/>
        </w:rPr>
      </w:r>
      <w:r>
        <w:rPr>
          <w:b w:val="0"/>
          <w:bCs w:val="0"/>
          <w:color w:val="292c2f"/>
        </w:rPr>
      </w:r>
      <w:r>
        <w:rPr>
          <w:b w:val="0"/>
          <w:bCs w:val="0"/>
          <w:color w:val="292c2f"/>
        </w:rPr>
      </w:r>
    </w:p>
    <w:p>
      <w:pPr>
        <w:pStyle w:val="954"/>
        <w:spacing w:after="0" w:afterAutospacing="0"/>
        <w:rPr>
          <w:b/>
        </w:rPr>
      </w:pPr>
      <w:r>
        <w:rPr>
          <w:color w:val="292c2f"/>
        </w:rPr>
      </w:r>
      <w:r>
        <w:rPr>
          <w:b/>
        </w:rPr>
        <w:t xml:space="preserve">5.</w:t>
      </w:r>
      <w:r>
        <w:rPr>
          <w:b/>
        </w:rPr>
        <w:t xml:space="preserve"> </w:t>
      </w:r>
      <w:r>
        <w:rPr>
          <w:b/>
          <w:bCs/>
          <w:color w:val="292c2f"/>
        </w:rPr>
        <w:t xml:space="preserve">Дмитрий Григоренко: Росреестр – один из лидеров в применении искусственного интеллекта среди госорганов</w:t>
      </w:r>
      <w:r>
        <w:rPr>
          <w:b/>
          <w:bCs/>
          <w:color w:val="292c2f"/>
        </w:rPr>
        <w:t xml:space="preserve">.</w:t>
      </w:r>
      <w:r>
        <w:rPr>
          <w:b/>
        </w:rPr>
      </w:r>
      <w:r>
        <w:rPr>
          <w:b/>
        </w:rPr>
      </w:r>
    </w:p>
    <w:p>
      <w:pPr>
        <w:spacing w:after="0" w:afterAutospacing="0"/>
        <w:rPr>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З</w:t>
      </w:r>
      <w:r>
        <w:rPr>
          <w:b w:val="0"/>
          <w:bCs w:val="0"/>
          <w:color w:val="292c2f"/>
        </w:rPr>
        <w:t xml:space="preserve">аместитель Председателя Правительства – Руководитель Аппарата Правительства Дмитрий Григоренко посетил Росреестр и ознакомился с основными итогами работы ведомства в области цифровой трансформации государственных услуг и сервисов в сфере недвижимости за п</w:t>
      </w:r>
      <w:r>
        <w:rPr>
          <w:b w:val="0"/>
          <w:bCs w:val="0"/>
          <w:color w:val="292c2f"/>
        </w:rPr>
        <w:t xml:space="preserve">оследние пять лет.</w:t>
      </w:r>
      <w:r>
        <w:rPr>
          <w:color w:val="292c2f"/>
          <w14:ligatures w14:val="none"/>
        </w:rPr>
      </w:r>
      <w:r>
        <w:rPr>
          <w:color w:val="292c2f"/>
          <w14:ligatures w14:val="none"/>
        </w:rPr>
      </w:r>
    </w:p>
    <w:p>
      <w:pPr>
        <w:spacing w:after="0" w:afterAutospacing="0"/>
        <w:rPr>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рамках визита были продемонстрированы ключевые цифровые проекты – Федеральная государственная информационная система ведения Единого государственного реестра недвижимости (ФГИС ЕГРН), единая цифровая платформа «Национальная система пр</w:t>
      </w:r>
      <w:r>
        <w:rPr>
          <w:b w:val="0"/>
          <w:bCs w:val="0"/>
          <w:color w:val="292c2f"/>
        </w:rPr>
        <w:t xml:space="preserve">остранственных данных» и Центр кибербезопасности ведомства.</w:t>
      </w:r>
      <w:r>
        <w:rPr>
          <w:color w:val="292c2f"/>
          <w14:ligatures w14:val="none"/>
        </w:rPr>
      </w:r>
      <w:r>
        <w:rPr>
          <w:color w:val="292c2f"/>
          <w14:ligatures w14:val="none"/>
        </w:rPr>
      </w:r>
    </w:p>
    <w:p>
      <w:pPr>
        <w:spacing w:after="0" w:afterAutospacing="0"/>
        <w:rPr>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«На сегодняшний день Росреестр – один из лидеров инноваций среди госорганов. За последние пять лет служба добилась серьёзного прорыва в цифровизации. Это особенно важно, учитывая, что услуги Роср</w:t>
      </w:r>
      <w:r>
        <w:rPr>
          <w:b w:val="0"/>
          <w:bCs w:val="0"/>
          <w:color w:val="292c2f"/>
        </w:rPr>
        <w:t xml:space="preserve">еестра являются наиболее массовыми и востребованными у граждан. Например, доля электронной ипотеки выросла в 9 раз и достигла 84%. Росреестр также стал одним из первых ведомств, которое активно внедряет высокотехнологичные сервисы с применением искусственн</w:t>
      </w:r>
      <w:r>
        <w:rPr>
          <w:b w:val="0"/>
          <w:bCs w:val="0"/>
          <w:color w:val="292c2f"/>
        </w:rPr>
        <w:t xml:space="preserve">ого интеллекта», – сказал Дмитрий Григоренко.</w:t>
      </w:r>
      <w:r>
        <w:rPr>
          <w:color w:val="292c2f"/>
          <w14:ligatures w14:val="none"/>
        </w:rPr>
      </w:r>
      <w:r>
        <w:rPr>
          <w:color w:val="292c2f"/>
          <w14:ligatures w14:val="none"/>
        </w:rPr>
      </w:r>
    </w:p>
    <w:p>
      <w:pPr>
        <w:spacing w:after="0" w:afterAutospacing="0"/>
        <w:rPr>
          <w:color w:val="292c2f"/>
          <w14:ligatures w14:val="none"/>
        </w:rPr>
      </w:pPr>
      <w:r>
        <w:rPr>
          <w:b w:val="0"/>
          <w:bCs w:val="0"/>
          <w:color w:val="292c2f"/>
        </w:rPr>
      </w:r>
      <w:r>
        <w:rPr>
          <w:b w:val="0"/>
          <w:bCs w:val="0"/>
          <w:color w:val="292c2f"/>
        </w:rPr>
        <w:t xml:space="preserve">Он отметил, что цифровой помощник «Ева» дал возможность автоматизировать процесс приёма документов в МФЦ. Вместе с тем сервис используется государственными регистраторами Росреестра в ходе правовой экспертизы, что позволяет обрабатывать 30–40 пакетов докум</w:t>
      </w:r>
      <w:r>
        <w:rPr>
          <w:b w:val="0"/>
          <w:bCs w:val="0"/>
          <w:color w:val="292c2f"/>
        </w:rPr>
        <w:t xml:space="preserve">ентов ежедневно вместо 10, как было ранее. До конца года планируется масштабировать «Еву» на всю страну. Сервис «Умный кадастр» позволил при помощи нейронных сетей массово выявлять незарегистрированные объекты недвижимости, исключая ручной точечный анализ </w:t>
      </w:r>
      <w:r>
        <w:rPr>
          <w:b w:val="0"/>
          <w:bCs w:val="0"/>
          <w:color w:val="292c2f"/>
        </w:rPr>
        <w:t xml:space="preserve">и подворовой обход.</w:t>
      </w:r>
      <w:r>
        <w:rPr>
          <w:color w:val="292c2f"/>
          <w14:ligatures w14:val="none"/>
        </w:rPr>
      </w:r>
      <w:r>
        <w:rPr>
          <w:color w:val="292c2f"/>
          <w14:ligatures w14:val="none"/>
        </w:rPr>
      </w:r>
    </w:p>
    <w:p>
      <w:pPr>
        <w:spacing w:after="0" w:afterAutospacing="0"/>
        <w:rPr>
          <w:color w:val="292c2f"/>
          <w14:ligatures w14:val="none"/>
        </w:rPr>
      </w:pPr>
      <w:r>
        <w:rPr>
          <w:b w:val="0"/>
          <w:bCs w:val="0"/>
          <w:color w:val="292c2f"/>
        </w:rPr>
        <w:t xml:space="preserve">Как сообщил руководитель ведомства Олег Скуфинский, за последние пять лет Росреестр проделал большую работу по реинжинирингу процессов и цифровизации услуг. В 2020 году перед службой стояли серьёзные вызовы. ФГИС ЕГРН не была внедрена </w:t>
      </w:r>
      <w:r>
        <w:rPr>
          <w:b w:val="0"/>
          <w:bCs w:val="0"/>
          <w:color w:val="292c2f"/>
        </w:rPr>
        <w:t xml:space="preserve">на территории 34 наиболее крупных регионов страны, а это 70% данных, или 110 млн объектов недвижимости. Взаимодействие с МФЦ было полностью на бумаге, что приводило к перезаполнению архивов ведомства. </w:t>
      </w:r>
      <w:r>
        <w:rPr>
          <w:color w:val="292c2f"/>
          <w14:ligatures w14:val="none"/>
        </w:rPr>
      </w:r>
      <w:r>
        <w:rPr>
          <w:color w:val="292c2f"/>
          <w14:ligatures w14:val="none"/>
        </w:rPr>
      </w:r>
    </w:p>
    <w:p>
      <w:pPr>
        <w:spacing w:after="0" w:afterAutospacing="0"/>
        <w:rPr>
          <w:color w:val="292c2f"/>
          <w14:ligatures w14:val="none"/>
        </w:rPr>
      </w:pPr>
      <w:r>
        <w:rPr>
          <w:b w:val="0"/>
          <w:bCs w:val="0"/>
          <w:color w:val="292c2f"/>
        </w:rPr>
        <w:t xml:space="preserve">«В беспрецедентно сжатые сроки в течение 2020 года мы</w:t>
      </w:r>
      <w:r>
        <w:rPr>
          <w:b w:val="0"/>
          <w:bCs w:val="0"/>
          <w:color w:val="292c2f"/>
        </w:rPr>
        <w:t xml:space="preserve"> завершили переход на единую централизованную систему – ФГИС ЕГРН. В 2021 году утвердили Стратегию развития Росреестра и ведомственную программу цифровой трансформации – она является одной из самых масштабных и устанавливает 374 показателя на 2025 год. Про</w:t>
      </w:r>
      <w:r>
        <w:rPr>
          <w:b w:val="0"/>
          <w:bCs w:val="0"/>
          <w:color w:val="292c2f"/>
        </w:rPr>
        <w:t xml:space="preserve">вели реинжиниринг процессов, перешли на безбумажный документооборот с МФЦ и обеспечили экстерриториальный приём документов в МФЦ во всех регионах страны. Обеспечили создание единой отечественной электронной картографической основы – сегодня цифровая карта </w:t>
      </w:r>
      <w:r>
        <w:rPr>
          <w:b w:val="0"/>
          <w:bCs w:val="0"/>
          <w:color w:val="292c2f"/>
        </w:rPr>
        <w:t xml:space="preserve">страны создана уже на 72%», – сказал руководитель ведомства. </w:t>
      </w:r>
      <w:r>
        <w:rPr>
          <w:color w:val="292c2f"/>
          <w14:ligatures w14:val="none"/>
        </w:rPr>
      </w:r>
      <w:r>
        <w:rPr>
          <w:color w:val="292c2f"/>
          <w14:ligatures w14:val="none"/>
        </w:rPr>
      </w:r>
    </w:p>
    <w:p>
      <w:pPr>
        <w:spacing w:after="0" w:afterAutospacing="0"/>
        <w:rPr>
          <w:color w:val="292c2f"/>
          <w14:ligatures w14:val="none"/>
        </w:rPr>
      </w:pPr>
      <w:r>
        <w:rPr>
          <w:b w:val="0"/>
          <w:bCs w:val="0"/>
          <w:color w:val="292c2f"/>
        </w:rPr>
        <w:t xml:space="preserve">По его словам, в конце 2023 года Росреестр ввёл в промышленную эксплуатацию единую цифровую платформу «Национальная система пространственных данных» (НСПД), консолидирующую данные о земле и нед</w:t>
      </w:r>
      <w:r>
        <w:rPr>
          <w:b w:val="0"/>
          <w:bCs w:val="0"/>
          <w:color w:val="292c2f"/>
        </w:rPr>
        <w:t xml:space="preserve">вижимости. На базе НСПД сегодня функционируют 20 сервисов для людей, государства и бизнеса. Также по поручению Правительства и при взаимодействии с Минцифры все массовые социально значимые услуги Росреестра выведены на единый портал госуслуг.</w:t>
      </w:r>
      <w:r>
        <w:rPr>
          <w:color w:val="292c2f"/>
          <w14:ligatures w14:val="none"/>
        </w:rPr>
      </w:r>
      <w:r>
        <w:rPr>
          <w:color w:val="292c2f"/>
          <w14:ligatures w14:val="none"/>
        </w:rPr>
      </w:r>
    </w:p>
    <w:p>
      <w:pPr>
        <w:spacing w:after="0" w:afterAutospacing="0"/>
        <w:rPr>
          <w:color w:val="292c2f"/>
          <w14:ligatures w14:val="none"/>
        </w:rPr>
      </w:pPr>
      <w:r>
        <w:rPr>
          <w:b w:val="0"/>
          <w:bCs w:val="0"/>
          <w:color w:val="292c2f"/>
        </w:rPr>
        <w:t xml:space="preserve">Было также о</w:t>
      </w:r>
      <w:r>
        <w:rPr>
          <w:b w:val="0"/>
          <w:bCs w:val="0"/>
          <w:color w:val="292c2f"/>
        </w:rPr>
        <w:t xml:space="preserve">тмечено, что в 2024 году служба оказала 407 млн услуг – это в 3 раза больше, чем 5 лет назад. А доля электронных услуг с 2020 года выросла в 3 раза – до 60%. Срок регистрации прав сократился в 3,6 раза – до 1,4 дня, а срок кадастрового учёта – в 2,5 раза, </w:t>
      </w:r>
      <w:r>
        <w:rPr>
          <w:b w:val="0"/>
          <w:bCs w:val="0"/>
          <w:color w:val="292c2f"/>
        </w:rPr>
        <w:t xml:space="preserve">до 1,6 дня. В 2 раза сокращены приостановки по регистрации прав – до 1,2%, по кадастровому учёту – в 6,8 раза, до 1,63%.</w:t>
      </w:r>
      <w:r>
        <w:rPr>
          <w:color w:val="292c2f"/>
          <w14:ligatures w14:val="none"/>
        </w:rPr>
      </w:r>
      <w:r>
        <w:rPr>
          <w:color w:val="292c2f"/>
          <w14:ligatures w14:val="none"/>
        </w:rPr>
      </w:r>
    </w:p>
    <w:p>
      <w:pPr>
        <w:spacing w:after="0" w:afterAutospacing="0"/>
        <w:rPr>
          <w:color w:val="292c2f"/>
          <w14:ligatures w14:val="none"/>
        </w:rPr>
      </w:pPr>
      <w:r>
        <w:rPr>
          <w:b w:val="0"/>
          <w:bCs w:val="0"/>
          <w:color w:val="292c2f"/>
        </w:rPr>
        <w:t xml:space="preserve">Кроме того, в рамках масштабной работы по оптимизации государственного управления в сфере земли и недвижимости в 2022 году создана пуб</w:t>
      </w:r>
      <w:r>
        <w:rPr>
          <w:b w:val="0"/>
          <w:bCs w:val="0"/>
          <w:color w:val="292c2f"/>
        </w:rPr>
        <w:t xml:space="preserve">лично-правовая компания (ППК) «Роскадастр».</w:t>
      </w:r>
      <w:r>
        <w:rPr>
          <w:color w:val="292c2f"/>
          <w14:ligatures w14:val="none"/>
        </w:rPr>
      </w:r>
      <w:r>
        <w:rPr>
          <w:color w:val="292c2f"/>
          <w14:ligatures w14:val="none"/>
        </w:rPr>
      </w:r>
    </w:p>
    <w:p>
      <w:pPr>
        <w:spacing w:after="0" w:afterAutospacing="0"/>
        <w:rPr>
          <w:color w:val="292c2f"/>
          <w14:ligatures w14:val="none"/>
        </w:rPr>
      </w:pPr>
      <w:r>
        <w:rPr>
          <w:b w:val="0"/>
          <w:bCs w:val="0"/>
          <w:color w:val="292c2f"/>
        </w:rPr>
        <w:t xml:space="preserve">Вместо действовавших ранее двух учреждений и двух акционерных обществ появилось одно предприятие полного цикла. С 2023 года в ППК функционирует центр компетенций в сфере цифровых технологий – филиал «Центр инфор</w:t>
      </w:r>
      <w:r>
        <w:rPr>
          <w:b w:val="0"/>
          <w:bCs w:val="0"/>
          <w:color w:val="292c2f"/>
        </w:rPr>
        <w:t xml:space="preserve">мационных технологий “Роскадастр-Инфотех„», который обеспечивает поддержку, сопровождение и эксплуатацию информационных систем Росреестра.</w:t>
      </w:r>
      <w:r>
        <w:rPr>
          <w:color w:val="292c2f"/>
          <w14:ligatures w14:val="none"/>
        </w:rPr>
      </w:r>
      <w:r>
        <w:rPr>
          <w:color w:val="292c2f"/>
          <w14:ligatures w14:val="none"/>
        </w:rPr>
      </w:r>
    </w:p>
    <w:p>
      <w:pPr>
        <w:spacing w:after="0" w:afterAutospacing="0"/>
        <w:rPr>
          <w:b w:val="0"/>
          <w:bCs w:val="0"/>
          <w:color w:val="292c2f"/>
          <w14:ligatures w14:val="none"/>
        </w:rPr>
      </w:pPr>
      <w:r>
        <w:rPr>
          <w:b w:val="0"/>
          <w:bCs w:val="0"/>
          <w:color w:val="292c2f"/>
        </w:rPr>
        <w:t xml:space="preserve">Также в Росреестре внедрена и успешно функционирует комплексная система инф</w:t>
      </w:r>
      <w:r>
        <w:rPr>
          <w:b w:val="0"/>
          <w:bCs w:val="0"/>
          <w:color w:val="292c2f"/>
        </w:rPr>
        <w:t xml:space="preserve">ормационной безо</w:t>
      </w:r>
      <w:r>
        <w:rPr>
          <w:b w:val="0"/>
          <w:bCs w:val="0"/>
          <w:color w:val="292c2f"/>
        </w:rPr>
        <w:t xml:space="preserve">пасности.</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highlight w:val="none"/>
        </w:rPr>
      </w:r>
      <w:r>
        <w:rPr>
          <w:b w:val="0"/>
          <w:bCs w:val="0"/>
          <w:color w:val="292c2f"/>
          <w14:ligatures w14:val="none"/>
        </w:rPr>
      </w:r>
      <w:r>
        <w:rPr>
          <w:b w:val="0"/>
          <w:bCs w:val="0"/>
          <w:color w:val="292c2f"/>
          <w14:ligatures w14:val="none"/>
        </w:rPr>
      </w:r>
    </w:p>
    <w:p>
      <w:pPr>
        <w:rPr>
          <w:b/>
          <w:bCs/>
          <w:color w:val="292c2f"/>
          <w14:ligatures w14:val="none"/>
        </w:rPr>
      </w:pPr>
      <w:r>
        <w:rPr>
          <w:b/>
          <w:bCs/>
          <w:color w:val="292c2f"/>
        </w:rPr>
        <w:t xml:space="preserve">6. </w:t>
      </w:r>
      <w:r>
        <w:rPr>
          <w:b/>
          <w:bCs/>
          <w:color w:val="292c2f"/>
        </w:rPr>
        <w:t xml:space="preserve">Госдума приняла в I чтении законопроект Росреестра о защите электронных сделок с помощью биометрических данных.</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Государственная Дума приняла в первом чтении разработанный Росреестром законопроект, который позволит использовать Единую биометрическую систему для подачи документов на регистрацию объектов недвижимости в электронном виде. Это усилит безопасность сделок, </w:t>
      </w:r>
      <w:r>
        <w:rPr>
          <w:b w:val="0"/>
          <w:bCs w:val="0"/>
          <w:color w:val="292c2f"/>
        </w:rPr>
        <w:t xml:space="preserve">проводимых в режиме онлайн, и обеспечит дополнительную защиту имущественных прав граждан.</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Изменения предполагается внести в статью 36 Федерального закона «О государственной регистрации недвижимости».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Как сообщил заместитель руководителя Росреестра – стат</w:t>
      </w:r>
      <w:r>
        <w:rPr>
          <w:b w:val="0"/>
          <w:bCs w:val="0"/>
          <w:color w:val="292c2f"/>
        </w:rPr>
        <w:t xml:space="preserve">с секретарь </w:t>
      </w:r>
      <w:r>
        <w:rPr>
          <w:b w:val="0"/>
          <w:bCs w:val="0"/>
          <w:color w:val="292c2f"/>
        </w:rPr>
        <w:t xml:space="preserve">Алексей Бутовецкий</w:t>
      </w:r>
      <w:r>
        <w:rPr>
          <w:b w:val="0"/>
          <w:bCs w:val="0"/>
          <w:color w:val="292c2f"/>
        </w:rPr>
        <w:t xml:space="preserve">, в настоящее время уже предусмотрена мера защиты от мошенничества при электронных сделках с недвижимостью - установлено обязательное письменное согласие собственника на государственную регистрацию права собственности на основании документов, подготовленны</w:t>
      </w:r>
      <w:r>
        <w:rPr>
          <w:b w:val="0"/>
          <w:bCs w:val="0"/>
          <w:color w:val="292c2f"/>
        </w:rPr>
        <w:t xml:space="preserve">х в электронном виде. Для этого нужно дать разрешение лично, после чего в ЕГРН делается специальная отметка о возможности регистрации на основании документов, представленных в электронном виде и подписанных усиленной квалифицированной электронной подписью </w:t>
      </w:r>
      <w:r>
        <w:rPr>
          <w:b w:val="0"/>
          <w:bCs w:val="0"/>
          <w:color w:val="292c2f"/>
        </w:rPr>
        <w:t xml:space="preserve">(УКЭП).</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«Законопроектом предусмотрена еще одна мера защиты при электронных сделках с недвижимостью. В частности, граждане смогут подавать документы на регистрацию с помощью Единой биометрической системы, которая позволяет установить и подтвердить личность с исполь</w:t>
      </w:r>
      <w:r>
        <w:rPr>
          <w:b w:val="0"/>
          <w:bCs w:val="0"/>
          <w:color w:val="292c2f"/>
        </w:rPr>
        <w:t xml:space="preserve">зованием биометрических персональных данных физических лиц. Данный механизм будет применяться в дополнение к УКЭП, которая уже сейчас обеспечивает надежность процесса регистрации прав собственности. Сочетание этих двух факторов обеспечит высокий уровень бе</w:t>
      </w:r>
      <w:r>
        <w:rPr>
          <w:b w:val="0"/>
          <w:bCs w:val="0"/>
          <w:color w:val="292c2f"/>
        </w:rPr>
        <w:t xml:space="preserve">зопасности таких сделок и защиту граждан от мошеннических действий с недвижимостью. Кроме того, это очередной шаг на пути цифровизации, что сократит сроки получения услуг Росреестра и сделает их еще более удобными для наших пользователей»,</w:t>
      </w:r>
      <w:r>
        <w:rPr>
          <w:b w:val="0"/>
          <w:bCs w:val="0"/>
          <w:color w:val="292c2f"/>
        </w:rPr>
        <w:t xml:space="preserve"> - сказал </w:t>
      </w:r>
      <w:r>
        <w:rPr>
          <w:b w:val="0"/>
          <w:bCs w:val="0"/>
          <w:color w:val="292c2f"/>
        </w:rPr>
        <w:t xml:space="preserve">Алексей Бутовецкий</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Вступление в силу предлагаемых положений запланировано на 1 июля 2026 года.</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bCs/>
          <w:color w:val="292c2f"/>
        </w:rPr>
        <w:t xml:space="preserve">7. </w:t>
      </w:r>
      <w:r>
        <w:rPr>
          <w:b/>
          <w:bCs/>
          <w:color w:val="292c2f"/>
        </w:rPr>
        <w:t xml:space="preserve">Госдума приняла в I чтении законопроект Росреестра об упрощении порядка перераспределения земельных участков для бизнеса</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Государственная Дума приняла в первом чтении разработанный Росреестром законопроект, направленный на упрощение порядка перераспределения (то есть изменения границ) государственных и частных земельных участков в целях устранения недостатков, препятствующих </w:t>
      </w:r>
      <w:r>
        <w:rPr>
          <w:b w:val="0"/>
          <w:bCs w:val="0"/>
          <w:color w:val="292c2f"/>
        </w:rPr>
        <w:t xml:space="preserve">рациональному использованию земель. На пленарном заседании законопроект представил статс-секретарь – заместитель руководителя Росреестра </w:t>
      </w:r>
      <w:r>
        <w:rPr>
          <w:b w:val="0"/>
          <w:bCs w:val="0"/>
          <w:color w:val="292c2f"/>
        </w:rPr>
        <w:t xml:space="preserve">Алексей Бутовецкий</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Законопроект разработан в рамках «дорожной карты» трансформации делового климата «Реинжиниринг правил промышленного строительства», утвержденной Правительством РФ, и предусматривает поправки в Земельный кодекс РФ.</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«Поправки разработаны в интересах представителей бизнес-сообщества, особенно владельцев небольших магазинов и промышленных предприятий, которым необходимо изменить границы своих земельных участков в случаях чересполосицы, вклинивания, изломанности границ и</w:t>
      </w:r>
      <w:r>
        <w:rPr>
          <w:b w:val="0"/>
          <w:bCs w:val="0"/>
          <w:color w:val="292c2f"/>
        </w:rPr>
        <w:t xml:space="preserve"> т.д. Сегодня, чтобы осуществить перераспределение, им приходится разрабатывать проект межевания, при этом минимальные затраты на него составляют порядка 450-500 тыс. руб. Законопроектом предлагается снять этот барьер и упростить для бизнеса порядок образо</w:t>
      </w:r>
      <w:r>
        <w:rPr>
          <w:b w:val="0"/>
          <w:bCs w:val="0"/>
          <w:color w:val="292c2f"/>
        </w:rPr>
        <w:t xml:space="preserve">вания земельных участков путем перераспределения. Они, как и обычные граждане, смогут провести данную процедуру на основании схемы расположения земельного участка или участков на кадастровом плане территории. При этом площадь участков в результате перерасп</w:t>
      </w:r>
      <w:r>
        <w:rPr>
          <w:b w:val="0"/>
          <w:bCs w:val="0"/>
          <w:color w:val="292c2f"/>
        </w:rPr>
        <w:t xml:space="preserve">ределения может увеличиваться не более чем на 1 тыс. кв.м.»,</w:t>
      </w:r>
      <w:r>
        <w:rPr>
          <w:b w:val="0"/>
          <w:bCs w:val="0"/>
          <w:color w:val="292c2f"/>
        </w:rPr>
        <w:t xml:space="preserve"> - сказал </w:t>
      </w:r>
      <w:r>
        <w:rPr>
          <w:b w:val="0"/>
          <w:bCs w:val="0"/>
          <w:color w:val="292c2f"/>
        </w:rPr>
        <w:t xml:space="preserve">Алексей Бутовецкий</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Кроме того, законопроект позволит исключить случаи злоупотребления, когда в обход процедуры торгов предприниматели проводят многократное перераспределение государственных и частных участков, чтобы увеличить площадь участка, находящегося в частной собств</w:t>
      </w:r>
      <w:r>
        <w:rPr>
          <w:b w:val="0"/>
          <w:bCs w:val="0"/>
          <w:color w:val="292c2f"/>
        </w:rPr>
        <w:t xml:space="preserve">енности. Поправками будет установлена однократная возможность перераспределения таких земель.</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8. </w:t>
      </w:r>
      <w:r>
        <w:rPr>
          <w:b/>
          <w:bCs/>
          <w:color w:val="292c2f"/>
        </w:rPr>
        <w:t xml:space="preserve">Госдума одобрила в I чтении законопроект о соразмерности выкупаемого земельного участка построенному на нем объекту.</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Государственная Дума приняла в первом чтении разработанный Росреестром законопроект, которым вводятся критерии соразмерности площади выкупаемого без торгов земельного участка объекту недвижимости, возведенному на нем. На пленарном заседании законопроект пр</w:t>
      </w:r>
      <w:r>
        <w:rPr>
          <w:b w:val="0"/>
          <w:bCs w:val="0"/>
          <w:color w:val="292c2f"/>
        </w:rPr>
        <w:t xml:space="preserve">едставил статс-секретарь – заместитель руководителя Росреестра </w:t>
      </w:r>
      <w:r>
        <w:rPr>
          <w:b w:val="0"/>
          <w:bCs w:val="0"/>
          <w:color w:val="292c2f"/>
        </w:rPr>
        <w:t xml:space="preserve">Алексей Бутовецкий</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Законопроект разработан в рамках дорожной карты по повышению эффективности использования земель, утвержденной Правительством РФ, и предусматривает поправки в Земельный кодекс РФ.</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Как отметил </w:t>
      </w:r>
      <w:r>
        <w:rPr>
          <w:b w:val="0"/>
          <w:bCs w:val="0"/>
          <w:color w:val="292c2f"/>
        </w:rPr>
        <w:t xml:space="preserve">Алексей Бутовецкий</w:t>
      </w:r>
      <w:r>
        <w:rPr>
          <w:b w:val="0"/>
          <w:bCs w:val="0"/>
          <w:color w:val="292c2f"/>
        </w:rPr>
        <w:t xml:space="preserve">, законопроект решает многолетнюю проблему соразмерности земельного участка объекту недвижимости при выкупе без торгов собственником объекта. К примеру, когда человек строит на участке маленький сарайчик, а ему по льготной стоимости предоставляют десятки г</w:t>
      </w:r>
      <w:r>
        <w:rPr>
          <w:b w:val="0"/>
          <w:bCs w:val="0"/>
          <w:color w:val="292c2f"/>
        </w:rPr>
        <w:t xml:space="preserve">ектаров земли.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«До сих пор не выработано единых критериев относительно того, как собственнику здания (сооружения) реализовывать исключительное право выкупа или аренды. Необходимость соотнесения площади участка с площадью построенного на нем объекта законодательно не пред</w:t>
      </w:r>
      <w:r>
        <w:rPr>
          <w:b w:val="0"/>
          <w:bCs w:val="0"/>
          <w:color w:val="292c2f"/>
        </w:rPr>
        <w:t xml:space="preserve">усмотрена. Мы предлагаем ввести критерии, согласно которым в случае выкупа земельного участка для ИЖС, ведения личного подсобного хозяйства или садоводства такой участок должен быть застроен не менее чем на 5% - причем не сараем, а основным объектом. А для</w:t>
      </w:r>
      <w:r>
        <w:rPr>
          <w:b w:val="0"/>
          <w:bCs w:val="0"/>
          <w:color w:val="292c2f"/>
        </w:rPr>
        <w:t xml:space="preserve"> участков с иными видами разрешенного использования – на 10%. Это позволит исключить случаи злоупотребления, когда выкупают земельный участок несоразмерно большей площади, чем это необходимо для эксплуатации здания или сооружения», </w:t>
      </w:r>
      <w:r>
        <w:rPr>
          <w:b w:val="0"/>
          <w:bCs w:val="0"/>
          <w:color w:val="292c2f"/>
        </w:rPr>
        <w:t xml:space="preserve">- сказал </w:t>
      </w:r>
      <w:r>
        <w:rPr>
          <w:b w:val="0"/>
          <w:bCs w:val="0"/>
          <w:color w:val="292c2f"/>
        </w:rPr>
        <w:t xml:space="preserve">статс-секретарь – заместитель руководителя Росреестра</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Также предлагается ввести основания для отказа в предоставлении земельного участка, если площадь построенного на нем объекта не соответствует обозначенным в законопроекте критериям. Кроме того, нельзя будет выкупить участок, если на нем возведен только </w:t>
      </w:r>
      <w:r>
        <w:rPr>
          <w:b w:val="0"/>
          <w:bCs w:val="0"/>
          <w:color w:val="292c2f"/>
        </w:rPr>
        <w:t xml:space="preserve">вспомогательный объект, а основной объект отсутствует.</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9. </w:t>
      </w:r>
      <w:r>
        <w:rPr>
          <w:b/>
          <w:bCs/>
          <w:color w:val="292c2f"/>
        </w:rPr>
        <w:t xml:space="preserve">По проекту «Земля для туризма» выявили 19,5 тыс. га территорий для создания туристических объектов.</w:t>
      </w:r>
      <w:r>
        <w:rPr>
          <w:b/>
          <w:bCs/>
          <w:color w:val="292c2f"/>
          <w14:ligatures w14:val="none"/>
        </w:rPr>
      </w:r>
      <w:r>
        <w:rPr>
          <w:b/>
          <w:bCs/>
          <w:color w:val="292c2f"/>
          <w14:ligatures w14:val="none"/>
        </w:rPr>
      </w:r>
    </w:p>
    <w:p>
      <w:pPr>
        <w:rPr>
          <w:b w:val="0"/>
          <w:bCs w:val="0"/>
          <w:color w:val="292c2f"/>
          <w14:ligatures w14:val="none"/>
        </w:rPr>
      </w:pPr>
      <w:r>
        <w:rPr>
          <w:b w:val="0"/>
          <w:bCs w:val="0"/>
          <w:color w:val="292c2f"/>
        </w:rPr>
        <w:t xml:space="preserve">Правительство по поручению Президента системно занимается работой по устойчивому развитию территорий. Важным инструментом является эффективное управление федеральным имуществом, включая вовлечение в оборот неиспользуемых земель. На решение этой задачи в то</w:t>
      </w:r>
      <w:r>
        <w:rPr>
          <w:b w:val="0"/>
          <w:bCs w:val="0"/>
          <w:color w:val="292c2f"/>
        </w:rPr>
        <w:t xml:space="preserve">м числе направлен проект «Земля для туризма», сообщил Заместитель Председателя Правительства </w:t>
      </w:r>
      <w:r>
        <w:rPr>
          <w:b w:val="0"/>
          <w:bCs w:val="0"/>
          <w:color w:val="292c2f"/>
        </w:rPr>
        <w:t xml:space="preserve">Марат Хуснуллин</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r>
      <w:r>
        <w:rPr>
          <w:b w:val="0"/>
          <w:bCs w:val="0"/>
          <w:color w:val="292c2f"/>
        </w:rPr>
        <w:t xml:space="preserve">«На состоявшемся в понедельник оперативном совещании, которое провёл Председатель Правительства Михаил Мишустин, мы в том числе обсудили вопросы вовлечения в оборот земельных участков, а также цифровизации в этой сфере. На решение этих задач направлен прое</w:t>
      </w:r>
      <w:r>
        <w:rPr>
          <w:b w:val="0"/>
          <w:bCs w:val="0"/>
          <w:color w:val="292c2f"/>
        </w:rPr>
        <w:t xml:space="preserve">кт Росреестра «Земля для туризма». Сегодня туризм в России активно развивается. Люди всё чаще выбирают путешествия по стране, чтобы познакомиться с её богатой культурой и историей, природными красотами. Поэтому очень важно продолжать заниматься развитием т</w:t>
      </w:r>
      <w:r>
        <w:rPr>
          <w:b w:val="0"/>
          <w:bCs w:val="0"/>
          <w:color w:val="292c2f"/>
        </w:rPr>
        <w:t xml:space="preserve">уристических территорий. С начала старта проекта «Земля для туризма» в июле 2021 года выявлено 1174 земельных участка и территории общей площадью 19,5 тыс. га, определено 929 объектов туристического интереса. Только за 2024 год выявлено 520 участков площад</w:t>
      </w:r>
      <w:r>
        <w:rPr>
          <w:b w:val="0"/>
          <w:bCs w:val="0"/>
          <w:color w:val="292c2f"/>
        </w:rPr>
        <w:t xml:space="preserve">ью 13,6 тыс. га для создания туристических объектов, а также 453 объекта туристического интереса. В целом по этому проекту в оборот уже вовлекли 110 земельных участков и территорий площадью 729 га»,</w:t>
      </w:r>
      <w:r>
        <w:rPr>
          <w:b w:val="0"/>
          <w:bCs w:val="0"/>
          <w:color w:val="292c2f"/>
        </w:rPr>
        <w:t xml:space="preserve"> – сказал </w:t>
      </w:r>
      <w:r>
        <w:rPr>
          <w:b w:val="0"/>
          <w:bCs w:val="0"/>
          <w:color w:val="292c2f"/>
        </w:rPr>
        <w:t xml:space="preserve">Марат Хуснуллин</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По его словам, наилучшие показатели по вовлечённым земельным участкам у Приморского края (7 участков площадью 131 га), Удмуртской Республики (6 участков площадью 97,3 га), Республики Бурятия (1 участок площадью 82,7 га), Саратовской области (3 участка п</w:t>
      </w:r>
      <w:r>
        <w:rPr>
          <w:b w:val="0"/>
          <w:bCs w:val="0"/>
          <w:color w:val="292c2f"/>
        </w:rPr>
        <w:t xml:space="preserve">лощадью 78,3 га) и Республики Татарстан (15 участков площадью 72,9 га).</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Вице-премьер также отметил, что на сегодня в проекте участвуют 78 регионов, в том числе 33 из них присоединились в 2024 году. В реестр входят национальные парки, заповедники, памятник</w:t>
      </w:r>
      <w:r>
        <w:rPr>
          <w:b w:val="0"/>
          <w:bCs w:val="0"/>
          <w:color w:val="292c2f"/>
        </w:rPr>
        <w:t xml:space="preserve">и архитектуры и другие объекты, а также расположенные поблизости территории.</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r>
      <w:r>
        <w:rPr>
          <w:b w:val="0"/>
          <w:bCs w:val="0"/>
          <w:color w:val="292c2f"/>
        </w:rPr>
        <w:t xml:space="preserve">«С декабря 2024 года сервис «Земля для туризма», который ранее располагался на публичной кадастровой карте, стал доступен на единой цифровой платформе «Национальная система пространственных данных». Получить информацию о свободных участках и подать заявлен</w:t>
      </w:r>
      <w:r>
        <w:rPr>
          <w:b w:val="0"/>
          <w:bCs w:val="0"/>
          <w:color w:val="292c2f"/>
        </w:rPr>
        <w:t xml:space="preserve">ие на их получение может любой желающий, в том числе потенциальные инвесторы. В целом с момента запуска «Земли для туризма» поступило уже 984 уведомления от физических и юридических лиц, заинтересованных в предоставлении 303 участков общей площадью более 3</w:t>
      </w:r>
      <w:r>
        <w:rPr>
          <w:b w:val="0"/>
          <w:bCs w:val="0"/>
          <w:color w:val="292c2f"/>
        </w:rPr>
        <w:t xml:space="preserve"> тыс. га. На публичной кадастровой карте размещены сведения о 767 свободных участках общей площадью 15,2 тыс. га»,</w:t>
      </w:r>
      <w:r>
        <w:rPr>
          <w:b w:val="0"/>
          <w:bCs w:val="0"/>
          <w:color w:val="292c2f"/>
        </w:rPr>
        <w:t xml:space="preserve"> – сказал руководитель Росреестра </w:t>
      </w:r>
      <w:r>
        <w:rPr>
          <w:b w:val="0"/>
          <w:bCs w:val="0"/>
          <w:color w:val="292c2f"/>
        </w:rPr>
        <w:t xml:space="preserve">Олег Скуфинский</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Он сообщил, что среди федеральных округов лидером по площади выявленных в рамках проекта участков остаётся Сибирский федеральный округ (199 территорий площадью 9,8 тыс. га), Северо-Западный (115 участков площадью 2,6 тыс. га) и Приволжский (317 участков</w:t>
      </w:r>
      <w:r>
        <w:rPr>
          <w:b w:val="0"/>
          <w:bCs w:val="0"/>
          <w:color w:val="292c2f"/>
        </w:rPr>
        <w:t xml:space="preserve"> площадью 2,5 тыс. га) федеральные округа. В разрезе регионов наилучшие результаты у Новосибирской области – 27 земельных участков площадью 8,6 тыс. га, Мурманской области – 13 участков площадью 918 га, Республики Карелия – 20 участков площадью 869 га, Чел</w:t>
      </w:r>
      <w:r>
        <w:rPr>
          <w:b w:val="0"/>
          <w:bCs w:val="0"/>
          <w:color w:val="292c2f"/>
        </w:rPr>
        <w:t xml:space="preserve">ябинской области – 62 участка площадью 720 га и Республики Башкортостан – 37 участков площадью 651 га.</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Наибольшее количество выявленных объектов туристического интереса в Вологодской области (110), Новосибирской области (68), Пермском крае (67), Челябинск</w:t>
      </w:r>
      <w:r>
        <w:rPr>
          <w:b w:val="0"/>
          <w:bCs w:val="0"/>
          <w:color w:val="292c2f"/>
        </w:rPr>
        <w:t xml:space="preserve">ой области (46) и Республике Дагестан (40).</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В регионах уже началось освоение участков по этому проекту. Например, в Саратовской области возведён и принимает гостей глэмп-отель в Красноармейском районе. Ещё на одном участке в Энгельсском районе планируется</w:t>
      </w:r>
      <w:r>
        <w:rPr>
          <w:b w:val="0"/>
          <w:bCs w:val="0"/>
          <w:color w:val="292c2f"/>
        </w:rPr>
        <w:t xml:space="preserve"> строительство круглогодичного туристического комплекса «Созвездие Гагарина».</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В Хасанском муниципальном округе Приморского края планируется строительство круглогодичного морского курорта. В его состав войдут гостиницы и апартаменты, аквапарк, школа водных</w:t>
      </w:r>
      <w:r>
        <w:rPr>
          <w:b w:val="0"/>
          <w:bCs w:val="0"/>
          <w:color w:val="292c2f"/>
        </w:rPr>
        <w:t xml:space="preserve"> видов спорта, банный комплекс, парк развлечений и т. д. Реализация проекта позволит краю ежегодно принимать до 500 тысяч туристов.</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В Республике Татарстан 15 земельных участков выделены для создания первого в регионе комплексного всесезонного загородного </w:t>
      </w:r>
      <w:r>
        <w:rPr>
          <w:b w:val="0"/>
          <w:bCs w:val="0"/>
          <w:color w:val="292c2f"/>
        </w:rPr>
        <w:t xml:space="preserve">курорта «Казань марина». Он расположится в Лаишевском районе республики и будет рассчитан на 300 яхт. Здесь появятся отели, пункты сервисного обслуживания и хранения судов. Турпоток оценивается в 620 тысяч человек. Начата разработка проекта планировки, про</w:t>
      </w:r>
      <w:r>
        <w:rPr>
          <w:b w:val="0"/>
          <w:bCs w:val="0"/>
          <w:color w:val="292c2f"/>
        </w:rPr>
        <w:t xml:space="preserve">екта межевания территории и подготовка необходимой документации.</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В Республике Бурятия на одном из участков в Прибайкальском районе планируется строительство туристического комплекса «Чудо Байкал» и многофункционального комплекса «Лотос». В Челябинской обл</w:t>
      </w:r>
      <w:r>
        <w:rPr>
          <w:b w:val="0"/>
          <w:bCs w:val="0"/>
          <w:color w:val="292c2f"/>
        </w:rPr>
        <w:t xml:space="preserve">асти вовлечённые участки будут использованы для развития зимних экстремальных видов спорта, создания детского военно-патриотического лагеря, а также воссоздания Троицкой крепости для организации экскурсий и мастер-классов.</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t xml:space="preserve">Проект «Земля для туризма» реали</w:t>
      </w:r>
      <w:r>
        <w:rPr>
          <w:b w:val="0"/>
          <w:bCs w:val="0"/>
          <w:color w:val="292c2f"/>
        </w:rPr>
        <w:t xml:space="preserve">зуется по решению Правительственной комиссии по региональному развитию. Работа в рамках проекта ведётся в тесном взаимодействии с главами регионов. Поиском подходящих территорий занимаются оперативные штабы, они же анализируют их потенциал и разрабатывают </w:t>
      </w:r>
      <w:r>
        <w:rPr>
          <w:b w:val="0"/>
          <w:bCs w:val="0"/>
          <w:color w:val="292c2f"/>
        </w:rPr>
        <w:t xml:space="preserve">стратегии для улучшения использования земли. В состав штабов входят представители территориальных управлений Росреестра, филиалов ППК «Роскадастр», региональных органов власти и профессионального сообщества.</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10. </w:t>
      </w:r>
      <w:r>
        <w:rPr>
          <w:b/>
          <w:bCs/>
          <w:color w:val="292c2f"/>
        </w:rPr>
        <w:t xml:space="preserve">Больше, качественнее, быстрее: Росреестр подвел итоги конкурса «Лучший по профессии».</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Руководитель ведомства </w:t>
      </w:r>
      <w:r>
        <w:rPr>
          <w:b w:val="0"/>
          <w:bCs w:val="0"/>
          <w:color w:val="292c2f"/>
        </w:rPr>
        <w:t xml:space="preserve">Олег Скуфинский</w:t>
      </w:r>
      <w:r>
        <w:rPr>
          <w:b w:val="0"/>
          <w:bCs w:val="0"/>
          <w:color w:val="292c2f"/>
        </w:rPr>
        <w:t xml:space="preserve"> наградил победителей и призеров конкурса «Лучший по профессии в системе Росреестра», который проводится в целях развития кадрового потенциала и повышения профессионального мастерства специалистов.</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«Мы проводим конкурс уже в 4-й раз. В этом году на рассмотрение комиссии было представлено 144 проекта. В системе Росреестра много задач, предметных областей, где каждый наш сотрудник может реализовать свои инновации и предложения по оптимизации процессов.</w:t>
      </w:r>
      <w:r>
        <w:rPr>
          <w:b w:val="0"/>
          <w:bCs w:val="0"/>
          <w:color w:val="292c2f"/>
        </w:rPr>
        <w:t xml:space="preserve"> С 2020 года объем задач ведомства статистически вырос в 4 раза. Наши услуги стали лучше, качественнее и быстрее. К тому же за этот период в рамках поручений руководства страны у Росреестра добавилось более 50 дополнительных функций. Теперь мы делаем гораз</w:t>
      </w:r>
      <w:r>
        <w:rPr>
          <w:b w:val="0"/>
          <w:bCs w:val="0"/>
          <w:color w:val="292c2f"/>
        </w:rPr>
        <w:t xml:space="preserve">до больше благодаря росту производительности труда, которая выросла на 400%. В основе этих результатов проекты, которые оптимизируют технологические процессы или процедуры, а также показывают ваше желание сделать что-то лучшее для своего региона, для дела,</w:t>
      </w:r>
      <w:r>
        <w:rPr>
          <w:b w:val="0"/>
          <w:bCs w:val="0"/>
          <w:color w:val="292c2f"/>
        </w:rPr>
        <w:t xml:space="preserve"> которым мы занимаемся, для нашей страны. Верю, что количество специалистов, формирующих инновации в нашей системе, с каждым годом будет увеличиваться.</w:t>
      </w:r>
      <w:r>
        <w:rPr>
          <w:b w:val="0"/>
          <w:bCs w:val="0"/>
          <w:color w:val="292c2f"/>
        </w:rPr>
        <w:t xml:space="preserve"> </w:t>
      </w:r>
      <w:r>
        <w:rPr>
          <w:b w:val="0"/>
          <w:bCs w:val="0"/>
          <w:color w:val="292c2f"/>
        </w:rPr>
        <w:t xml:space="preserve">Поздравляю вас с победой, желаю успешно внедрить идеи на практике и получить конкретный результат» –</w:t>
      </w:r>
      <w:r>
        <w:rPr>
          <w:b w:val="0"/>
          <w:bCs w:val="0"/>
          <w:color w:val="292c2f"/>
        </w:rPr>
        <w:t xml:space="preserve"> отметил глава ведомства.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Сотрудники Управления Росреестра по Алтайскому краю стали первыми в 4 номинациях. Награда «Лучший экономист» досталась начальнику отдела материально-технического обеспечения </w:t>
      </w:r>
      <w:r>
        <w:rPr>
          <w:b w:val="0"/>
          <w:bCs w:val="0"/>
          <w:color w:val="292c2f"/>
        </w:rPr>
        <w:t xml:space="preserve">Олегу Яшину</w:t>
      </w:r>
      <w:r>
        <w:rPr>
          <w:b w:val="0"/>
          <w:bCs w:val="0"/>
          <w:color w:val="292c2f"/>
        </w:rPr>
        <w:t xml:space="preserve">, победившему в прошлом году в номинации «Лучший в административной деятельности». Главный специалист - эксперт отдела правового обеспечения Управления </w:t>
      </w:r>
      <w:r>
        <w:rPr>
          <w:b w:val="0"/>
          <w:bCs w:val="0"/>
          <w:color w:val="292c2f"/>
        </w:rPr>
        <w:t xml:space="preserve">Юлия Зубцова </w:t>
      </w:r>
      <w:r>
        <w:rPr>
          <w:b w:val="0"/>
          <w:bCs w:val="0"/>
          <w:color w:val="292c2f"/>
        </w:rPr>
        <w:t xml:space="preserve">стала лучшим юристом. Номинацию «Лучший специалист в сфере несостоятельности (банкротства), контроля (надзора) за деятельностью саморегулируемых организаций» завоевала начальник отдела по контролю (надзору) в сфере саморегулируемых организаций </w:t>
      </w:r>
      <w:r>
        <w:rPr>
          <w:b w:val="0"/>
          <w:bCs w:val="0"/>
          <w:color w:val="292c2f"/>
        </w:rPr>
        <w:t xml:space="preserve">Елена Селиванова</w:t>
      </w:r>
      <w:r>
        <w:rPr>
          <w:b w:val="0"/>
          <w:bCs w:val="0"/>
          <w:color w:val="292c2f"/>
        </w:rPr>
        <w:t xml:space="preserve">, а заместитель начальника отдела эксплуатации информационных систем, технических средств и каналов связи</w:t>
      </w:r>
      <w:r>
        <w:rPr>
          <w:b w:val="0"/>
          <w:bCs w:val="0"/>
          <w:color w:val="292c2f"/>
        </w:rPr>
        <w:t xml:space="preserve"> Александр Яшин </w:t>
      </w:r>
      <w:r>
        <w:rPr>
          <w:b w:val="0"/>
          <w:bCs w:val="0"/>
          <w:color w:val="292c2f"/>
        </w:rPr>
        <w:t xml:space="preserve">признан лучшим специалистом в сфере цифровой трансформации.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Коллеги из Управления Росреестра по Саратовской области также одержали победу в 4-х номинациях во главе с руководителем Управления </w:t>
      </w:r>
      <w:r>
        <w:rPr>
          <w:b w:val="0"/>
          <w:bCs w:val="0"/>
          <w:color w:val="292c2f"/>
        </w:rPr>
        <w:t xml:space="preserve">Александром Соловьевым</w:t>
      </w:r>
      <w:r>
        <w:rPr>
          <w:b w:val="0"/>
          <w:bCs w:val="0"/>
          <w:color w:val="292c2f"/>
        </w:rPr>
        <w:t xml:space="preserve">, ставшим лучшим специалистом в сфере стратегического планирования и управления. Главный специалист-эксперт отдела государственной регистрации недвижимости </w:t>
      </w:r>
      <w:r>
        <w:rPr>
          <w:b w:val="0"/>
          <w:bCs w:val="0"/>
          <w:color w:val="292c2f"/>
        </w:rPr>
        <w:t xml:space="preserve">Ирина Ильина</w:t>
      </w:r>
      <w:r>
        <w:rPr>
          <w:b w:val="0"/>
          <w:bCs w:val="0"/>
          <w:color w:val="292c2f"/>
        </w:rPr>
        <w:t xml:space="preserve"> завоевала 1 место как «Лучший пресс-секретарь территориального органа Росреестра». Звание «Лучший картограф» досталось ведущему специалисту - эксперту отдела государственного земельного надзора </w:t>
      </w:r>
      <w:r>
        <w:rPr>
          <w:b w:val="0"/>
          <w:bCs w:val="0"/>
          <w:color w:val="292c2f"/>
        </w:rPr>
        <w:t xml:space="preserve">Антону Чалбушеву</w:t>
      </w:r>
      <w:r>
        <w:rPr>
          <w:b w:val="0"/>
          <w:bCs w:val="0"/>
          <w:color w:val="292c2f"/>
        </w:rPr>
        <w:t xml:space="preserve">, а</w:t>
      </w:r>
      <w:r>
        <w:rPr>
          <w:b w:val="0"/>
          <w:bCs w:val="0"/>
          <w:color w:val="292c2f"/>
        </w:rPr>
        <w:t xml:space="preserve"> </w:t>
      </w:r>
      <w:r>
        <w:rPr>
          <w:b w:val="0"/>
          <w:bCs w:val="0"/>
          <w:color w:val="292c2f"/>
        </w:rPr>
        <w:t xml:space="preserve">помощник руководителя Управления</w:t>
      </w:r>
      <w:r>
        <w:rPr>
          <w:b w:val="0"/>
          <w:bCs w:val="0"/>
          <w:color w:val="292c2f"/>
        </w:rPr>
        <w:t xml:space="preserve"> Анна Нестерова </w:t>
      </w:r>
      <w:r>
        <w:rPr>
          <w:b w:val="0"/>
          <w:bCs w:val="0"/>
          <w:color w:val="292c2f"/>
        </w:rPr>
        <w:t xml:space="preserve">награждена в номинации «Лучший специалист в сфере корпоративной культуры и внешних коммуникаций».</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Трое сотрудников Управления Росреестра по Пермскому краю стали победителями в следующих номинациях: «Лучший ИT-специалист» — заместитель начальника отдела</w:t>
      </w:r>
      <w:r>
        <w:rPr>
          <w:b w:val="0"/>
          <w:bCs w:val="0"/>
          <w:color w:val="292c2f"/>
        </w:rPr>
        <w:t xml:space="preserve"> эксплуатации информационных систем, технических средств и каналов связи </w:t>
      </w:r>
      <w:r>
        <w:rPr>
          <w:b w:val="0"/>
          <w:bCs w:val="0"/>
          <w:color w:val="292c2f"/>
        </w:rPr>
        <w:t xml:space="preserve">Екатерина Волкова</w:t>
      </w:r>
      <w:r>
        <w:rPr>
          <w:b w:val="0"/>
          <w:bCs w:val="0"/>
          <w:color w:val="292c2f"/>
        </w:rPr>
        <w:t xml:space="preserve">;</w:t>
      </w:r>
      <w:r>
        <w:rPr>
          <w:b w:val="0"/>
          <w:bCs w:val="0"/>
          <w:color w:val="292c2f"/>
        </w:rPr>
        <w:t xml:space="preserve"> </w:t>
      </w:r>
      <w:r>
        <w:rPr>
          <w:b w:val="0"/>
          <w:bCs w:val="0"/>
          <w:color w:val="292c2f"/>
        </w:rPr>
        <w:t xml:space="preserve">«Лучший специалист в сфере качества данных ЕГРН» — ведущий специалист-эксперт отдела ведения ЕГРН, повышения качества данных ЕГРН </w:t>
      </w:r>
      <w:r>
        <w:rPr>
          <w:b w:val="0"/>
          <w:bCs w:val="0"/>
          <w:color w:val="292c2f"/>
        </w:rPr>
        <w:t xml:space="preserve">Эльнар Уразманов</w:t>
      </w:r>
      <w:r>
        <w:rPr>
          <w:b w:val="0"/>
          <w:bCs w:val="0"/>
          <w:color w:val="292c2f"/>
        </w:rPr>
        <w:t xml:space="preserve">;</w:t>
      </w:r>
      <w:r>
        <w:rPr>
          <w:b w:val="0"/>
          <w:bCs w:val="0"/>
          <w:color w:val="292c2f"/>
        </w:rPr>
        <w:t xml:space="preserve"> </w:t>
      </w:r>
      <w:r>
        <w:rPr>
          <w:b w:val="0"/>
          <w:bCs w:val="0"/>
          <w:color w:val="292c2f"/>
        </w:rPr>
        <w:t xml:space="preserve">«Лучший специалист в сфере административной деятельности» — заместитель начальника административно- хозяйственного отдела </w:t>
      </w:r>
      <w:r>
        <w:rPr>
          <w:b w:val="0"/>
          <w:bCs w:val="0"/>
          <w:color w:val="292c2f"/>
        </w:rPr>
        <w:t xml:space="preserve">Алеся Елькина.</w:t>
      </w:r>
      <w:r>
        <w:rPr>
          <w:b w:val="0"/>
          <w:bCs w:val="0"/>
          <w:color w:val="292c2f"/>
          <w14:ligatures w14:val="none"/>
        </w:rPr>
      </w:r>
      <w:r>
        <w:rPr>
          <w:b w:val="0"/>
          <w:bCs w:val="0"/>
          <w:color w:val="292c2f"/>
          <w14:ligatures w14:val="none"/>
        </w:rPr>
      </w:r>
    </w:p>
    <w:p>
      <w:pPr>
        <w:spacing w:after="0" w:afterAutospacing="0"/>
        <w:rPr>
          <w:b w:val="0"/>
          <w:bCs w:val="0"/>
          <w:color w:val="292c2f"/>
          <w:highlight w:val="none"/>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Победу в номинации «Лучший специалист в сфере кадастрового учета и регистрации прав» одержала специалист-эксперт отдела государственной регистрации недвижимости и кадастрового учета Управления Росреестра по Курганской области </w:t>
      </w:r>
      <w:r>
        <w:rPr>
          <w:b w:val="0"/>
          <w:bCs w:val="0"/>
          <w:color w:val="292c2f"/>
        </w:rPr>
        <w:t xml:space="preserve">Марина Мекеда.</w:t>
      </w:r>
      <w:r>
        <w:rPr>
          <w:b w:val="0"/>
          <w:bCs w:val="0"/>
          <w:color w:val="292c2f"/>
        </w:rPr>
        <w:t xml:space="preserve"> Специалист-эксперт Прокопьевского отдела Управления Росреестра по Кемеровской области-Кузбассу </w:t>
      </w:r>
      <w:r>
        <w:rPr>
          <w:b w:val="0"/>
          <w:bCs w:val="0"/>
          <w:color w:val="292c2f"/>
        </w:rPr>
        <w:t xml:space="preserve">Ольга Часовских</w:t>
      </w:r>
      <w:r>
        <w:rPr>
          <w:b w:val="0"/>
          <w:bCs w:val="0"/>
          <w:color w:val="292c2f"/>
        </w:rPr>
        <w:t xml:space="preserve"> признана лучшим инспектором государственного контроля (надзора). Награда «Лучший геодезист» досталась начальнику отдела геодезии и картографии Управления Росреестра по Воронежской области </w:t>
      </w:r>
      <w:r>
        <w:rPr>
          <w:b w:val="0"/>
          <w:bCs w:val="0"/>
          <w:color w:val="292c2f"/>
        </w:rPr>
        <w:t xml:space="preserve">Андрею Карасеву</w:t>
      </w:r>
      <w:r>
        <w:rPr>
          <w:b w:val="0"/>
          <w:bCs w:val="0"/>
          <w:color w:val="292c2f"/>
        </w:rPr>
        <w:t xml:space="preserve">. Ведущий специалист-эксперт отдела государственной службы и кадров Управления Росреестра по Челябинской области </w:t>
      </w:r>
      <w:r>
        <w:rPr>
          <w:b w:val="0"/>
          <w:bCs w:val="0"/>
          <w:color w:val="292c2f"/>
        </w:rPr>
        <w:t xml:space="preserve">Нурия Семёнова</w:t>
      </w:r>
      <w:r>
        <w:rPr>
          <w:b w:val="0"/>
          <w:bCs w:val="0"/>
          <w:color w:val="292c2f"/>
        </w:rPr>
        <w:t xml:space="preserve"> стала лучшим специалистом в кадровой сфере.</w:t>
      </w:r>
      <w:r>
        <w:rPr>
          <w:b w:val="0"/>
          <w:bCs w:val="0"/>
          <w:color w:val="292c2f"/>
          <w:highlight w:val="none"/>
          <w14:ligatures w14:val="none"/>
        </w:rPr>
      </w:r>
      <w:r>
        <w:rPr>
          <w:b w:val="0"/>
          <w:bCs w:val="0"/>
          <w:color w:val="292c2f"/>
          <w:highlight w:val="none"/>
          <w14:ligatures w14:val="none"/>
        </w:rPr>
      </w:r>
    </w:p>
    <w:p>
      <w:pPr>
        <w:spacing w:after="0" w:afterAutospacing="0"/>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14:ligatures w14:val="none"/>
        </w:rPr>
      </w:r>
      <w:r>
        <w:rPr>
          <w:b w:val="0"/>
          <w:bCs w:val="0"/>
          <w:color w:val="292c2f"/>
          <w14:ligatures w14:val="none"/>
        </w:rPr>
      </w:r>
      <w:r>
        <w:rPr>
          <w:b w:val="0"/>
          <w:bCs w:val="0"/>
          <w:color w:val="292c2f"/>
          <w14:ligatures w14:val="none"/>
        </w:rPr>
      </w:r>
    </w:p>
    <w:p>
      <w:pPr>
        <w:pStyle w:val="954"/>
        <w:spacing w:after="0" w:afterAutospacing="0"/>
        <w:rPr>
          <w:b/>
        </w:rPr>
      </w:pPr>
      <w:r>
        <w:rPr>
          <w:color w:val="292c2f"/>
        </w:rPr>
        <w:t xml:space="preserve">1</w:t>
      </w:r>
      <w:r>
        <w:rPr>
          <w:b/>
        </w:rPr>
        <w:t xml:space="preserve">1.</w:t>
      </w:r>
      <w:r>
        <w:rPr>
          <w:b/>
        </w:rPr>
        <w:t xml:space="preserve"> </w:t>
      </w:r>
      <w:r>
        <w:rPr>
          <w:b/>
          <w:bCs/>
          <w:color w:val="292c2f"/>
        </w:rPr>
        <w:t xml:space="preserve">Росреестр опроверг сообщения СМИ о введении нового налога на хозпостройки.</w:t>
      </w:r>
      <w:r>
        <w:rPr>
          <w:b/>
        </w:rPr>
      </w:r>
      <w:r>
        <w:rPr>
          <w:b/>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Недавно в ряде СМИ появились сообщения о том, что с 1 марта 2025 года в России якобы ввели обязательный налог на отдельные капитальные строения, расположенные на территории дачных участков (дома, бани, гаражи и т.д.). В частности, отмечалось, что объекты с</w:t>
      </w:r>
      <w:r>
        <w:rPr>
          <w:b w:val="0"/>
          <w:bCs w:val="0"/>
          <w:color w:val="292c2f"/>
        </w:rPr>
        <w:t xml:space="preserve"> капитальным фундаментом необходимо зарегистрировать в Росреестре, иначе Федеральная налоговая служба сама назначит налог и штраф за уклонение от декларирования.</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Росреестр обращает внимание, что данные сообщения </w:t>
      </w:r>
      <w:r>
        <w:rPr>
          <w:b w:val="0"/>
          <w:bCs w:val="0"/>
          <w:color w:val="292c2f"/>
        </w:rPr>
        <w:t xml:space="preserve">не соответствуют действительности</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частности, как разъясняют специалисты Росреестра, </w:t>
      </w:r>
      <w:r>
        <w:rPr>
          <w:b w:val="0"/>
          <w:bCs w:val="0"/>
          <w:color w:val="292c2f"/>
        </w:rPr>
        <w:t xml:space="preserve">с 1 марта 2025 года вступили в силу два федеральных закона</w:t>
      </w:r>
      <w:r>
        <w:rPr>
          <w:b w:val="0"/>
          <w:bCs w:val="0"/>
          <w:color w:val="292c2f"/>
        </w:rPr>
        <w:t xml:space="preserve"> – от 08.08.2024 № 307-ФЗ «О внесении изменений в Земельный кодекс Российской Федерации и статью 23 Федерального закона «О ведении гражданами садоводства и огородничества для собственных нужд и о внесении изменений в отдельные законодательные акты Российск</w:t>
      </w:r>
      <w:r>
        <w:rPr>
          <w:b w:val="0"/>
          <w:bCs w:val="0"/>
          <w:color w:val="292c2f"/>
        </w:rPr>
        <w:t xml:space="preserve">ой Федерации» и от 26.12.2024 № 487-ФЗ «О внесении изменений в отдельные законодательные акты Российской Федерации».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Закон № 307-ФЗ определяет, что такое освоение земельных участков, которые расположены в границах населенных пунктов, садовых и огородных з</w:t>
      </w:r>
      <w:r>
        <w:rPr>
          <w:b w:val="0"/>
          <w:bCs w:val="0"/>
          <w:color w:val="292c2f"/>
        </w:rPr>
        <w:t xml:space="preserve">емельных участков, и устанавливает сроки, когда нужно приступить к их использованию. Так, на подготовку земельного участка к использованию отводится 3 года. По истечении этого времени контрольные органы могут выявить, что земельный участок не используется.</w:t>
      </w:r>
      <w:r>
        <w:rPr>
          <w:b w:val="0"/>
          <w:bCs w:val="0"/>
          <w:color w:val="292c2f"/>
        </w:rPr>
        <w:t xml:space="preserve"> Признаки, по которым будет установлено, используется земельный участок или нет, будут утверждены Правительством РФ.</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Законом № 487-ФЗ вводится принцип «построил – оформи», в соответствии с которым эксплуатировать построенные здания и сооружения можно буде</w:t>
      </w:r>
      <w:r>
        <w:rPr>
          <w:b w:val="0"/>
          <w:bCs w:val="0"/>
          <w:color w:val="292c2f"/>
        </w:rPr>
        <w:t xml:space="preserve">т только после возникновения прав на них. Также законом определено, что при строительстве или реконструкции гаражей и хозпостроек на земельных участках, которые предназначены для индивидуального жилищного строительства, ведения личного подсобного хозяйства</w:t>
      </w:r>
      <w:r>
        <w:rPr>
          <w:b w:val="0"/>
          <w:bCs w:val="0"/>
          <w:color w:val="292c2f"/>
        </w:rPr>
        <w:t xml:space="preserve">, ведения гражданами садоводства для собственных нужд, подготавливать проектную документацию не требуется.</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Как отмечают специалисты Росреестра, </w:t>
      </w:r>
      <w:r>
        <w:rPr>
          <w:b w:val="0"/>
          <w:bCs w:val="0"/>
          <w:color w:val="292c2f"/>
        </w:rPr>
        <w:t xml:space="preserve">данные федеральные законы не предусматривают введение новых налогов в отношении объектов капитального строительства</w:t>
      </w:r>
      <w:r>
        <w:rPr>
          <w:b w:val="0"/>
          <w:bCs w:val="0"/>
          <w:color w:val="292c2f"/>
        </w:rPr>
        <w:t xml:space="preserve">, новых методов их исчисления, а также новых видов ответственности либо штрафов за неиспользование земельных участков. </w:t>
      </w:r>
      <w:r>
        <w:rPr>
          <w:b w:val="0"/>
          <w:bCs w:val="0"/>
          <w:color w:val="292c2f"/>
        </w:rPr>
        <w:t xml:space="preserve">Порядок налогообложения хозпостроек был установлен Налоговым кодексом ранее и действует без изменений</w:t>
      </w:r>
      <w:r>
        <w:rPr>
          <w:b w:val="0"/>
          <w:bCs w:val="0"/>
          <w:color w:val="292c2f"/>
        </w:rPr>
        <w:t xml:space="preserve">. Соответствующие разъяснения ранее давала </w:t>
      </w:r>
      <w:hyperlink r:id="rId23" w:tooltip="https://www.nalog.gov.ru/rn77/news/activities_fts/15800404/" w:history="1">
        <w:r>
          <w:rPr>
            <w:b w:val="0"/>
            <w:bCs w:val="0"/>
            <w:color w:val="292c2f"/>
          </w:rPr>
          <w:t xml:space="preserve">Федеральная налоговая служба</w:t>
        </w:r>
      </w:hyperlink>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Со своей стороны, Росреестр также решил напомнить, что такое хозяйственные (вспомогательные) постройки и какие из них подлежат государственному учёту с регистрацией прав на них.</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Права на какие постройки нужно регистрировать?</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К хозяйственным (вспомогательным) постройкам относятся сараи, бани, теплицы, уличные туалеты и душевые, а также иные сооружения, располагающиеся на вашем участке, но не являющиеся жилыми. Другими словами, это строения, которые имеют связь с основным здание</w:t>
      </w:r>
      <w:r>
        <w:rPr>
          <w:b w:val="0"/>
          <w:bCs w:val="0"/>
          <w:color w:val="292c2f"/>
        </w:rPr>
        <w:t xml:space="preserve">м и выполняют вспомогательную или обслуживающую функцию.</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К основным признакам недвижимого имущества, права на которое подлежат регистрации, можно отнести: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прочная связь объекта с землёй, когда перемещение такого объекта невозможно без несоразмерного ущерба его назначению. Зачастую это выражается в наличии заглубленного фундамента, несущих и ограждающих конструкций;</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материал, из которого изготовлен объект (например, кирпич, блоки, отдельные технологии деревянного строительства).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Если ваша постройка подходит под эти критерии, права на неё необходимо зарегистрировать. Объект, который под них не подпадает, не подлежит постановке на кадастровый учёт и права на него не регистрируются.</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Отметим, что чаще всего вместе с жилым домом гражд</w:t>
      </w:r>
      <w:r>
        <w:rPr>
          <w:b w:val="0"/>
          <w:bCs w:val="0"/>
          <w:color w:val="292c2f"/>
        </w:rPr>
        <w:t xml:space="preserve">ане регистрируют права на капитальные гаражи, бани и иные подобные постройки. </w:t>
      </w:r>
      <w:r>
        <w:rPr>
          <w:b w:val="0"/>
          <w:bCs w:val="0"/>
          <w:color w:val="292c2f"/>
        </w:rPr>
        <w:t xml:space="preserve">Разборные теплицы, беседки и навесы, уличные душевые кабины и туалеты, а также другие сооружения подобного назначения можно ставить на своём участке без постановки на кадастровый учёт и регистрации прав на них.</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Обязательно обращайте внимание на вид разреш</w:t>
      </w:r>
      <w:r>
        <w:rPr>
          <w:b w:val="0"/>
          <w:bCs w:val="0"/>
          <w:color w:val="292c2f"/>
        </w:rPr>
        <w:t xml:space="preserve">енного использования участка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Есть нюанс, на который нужно обращать внимание – то, какой вид разрешённого использования у вашего участка. Если земельный участок предназначен для ведения огородничества, возводить объекты капитального строительства на нём нельзя. Можно размещать только х</w:t>
      </w:r>
      <w:r>
        <w:rPr>
          <w:b w:val="0"/>
          <w:bCs w:val="0"/>
          <w:color w:val="292c2f"/>
        </w:rPr>
        <w:t xml:space="preserve">озяйственные постройки для хранения инвентаря и урожая, не являющиеся объектами недвижимости. А вот на садовом участке размещать капитальные вспомогательные постройки, прочно связанные с землёй, можно.</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12. </w:t>
      </w:r>
      <w:r>
        <w:rPr>
          <w:b/>
          <w:bCs/>
          <w:color w:val="292c2f"/>
        </w:rPr>
        <w:t xml:space="preserve">Сверхсекретная воздушная трасса Аляска-Сибирь-фронт.</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Полюс холода Оймякон – это одно из самых суровых мест на земле. Разница температур летом и зимой доходит до 104°C. Удивительный край высоких гор, хребтов, никогда не тающих ледников. До столицы Республики Саха (Якутия) г. Якутска расстояние 1022 км.</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Именн</w:t>
      </w:r>
      <w:r>
        <w:rPr>
          <w:b w:val="0"/>
          <w:bCs w:val="0"/>
          <w:color w:val="292c2f"/>
        </w:rPr>
        <w:t xml:space="preserve">о здесь в годы Великой Отечественной войны находился самый северный перегоночный аэродром сверхсекретного авиакоридора АЛСИБ —«Томтор» Оймякон (Кадастровый квартал 14:22:120004:74).</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9 октября 1941 года Сталин утверждает новую небывало сложную и опасную во</w:t>
      </w:r>
      <w:r>
        <w:rPr>
          <w:b w:val="0"/>
          <w:bCs w:val="0"/>
          <w:color w:val="292c2f"/>
        </w:rPr>
        <w:t xml:space="preserve">здушную трассу из Северной Америки в СССР. С Аляски через Берингов пролив, центральные районы Чукотки, Колымы, Якутии и Сибири до Красноярска. 6450 км напрямую без точных карт через горы, тундру и тайгу.</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После трагедии советской военной авиации в первые недели Великой Отечественной войны, когда Красная армия лишилась большей части самолетов и потеряла много авиационных заводов, самолеты нужны были как хлеб, как воздух.</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Так на крайнем севере началось строи</w:t>
      </w:r>
      <w:r>
        <w:rPr>
          <w:b w:val="0"/>
          <w:bCs w:val="0"/>
          <w:color w:val="292c2f"/>
        </w:rPr>
        <w:t xml:space="preserve">тельство круглогодичной и круглосуточной воздушной трассы, по которой советские лётчики перегоняли на фронт поставлявшиеся из США по договору ленд-лиза истребители, бомбардировщики, транспортные и учебные самолёты. Несмотря на труднодоступность районов, гд</w:t>
      </w:r>
      <w:r>
        <w:rPr>
          <w:b w:val="0"/>
          <w:bCs w:val="0"/>
          <w:color w:val="292c2f"/>
        </w:rPr>
        <w:t xml:space="preserve">е строились аэродромы, их возводили в кратчайшие сроки, всего за пять-восемь месяцев. Строительство велось в самых суровых природно-климатических условиях.</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Выяснено, что изыскания, проектирование и строительство аэродромов производилось практически одновр</w:t>
      </w:r>
      <w:r>
        <w:rPr>
          <w:b w:val="0"/>
          <w:bCs w:val="0"/>
          <w:color w:val="292c2f"/>
        </w:rPr>
        <w:t xml:space="preserve">еменно, при этом применялся целый комплекс оригинальных инженерных решений: консервация вечной мерзлоты, создание деревянных каркасов взлетно-посадочной полосы, укладка металлического аэродромного покрытия. Строились полноценные логистические центры – с ме</w:t>
      </w:r>
      <w:r>
        <w:rPr>
          <w:b w:val="0"/>
          <w:bCs w:val="0"/>
          <w:color w:val="292c2f"/>
        </w:rPr>
        <w:t xml:space="preserve">теостанциями, ангарами, складами, мастерскими, столовыми, жилыми домами и подсобным хозяйством.</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Трасса Аляска — Сибирь была разделена на пять участков, по которым 5 полков за годы войны доставили на фронт 8094 самолёта, 18753 тонны оборонных грузов и 319 </w:t>
      </w:r>
      <w:r>
        <w:rPr>
          <w:b w:val="0"/>
          <w:bCs w:val="0"/>
          <w:color w:val="292c2f"/>
        </w:rPr>
        <w:t xml:space="preserve">тонн почты.</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Участок Сеймчан – Якутск, протяженностью 1200 км, куда входил аэропорт «Томтор» (Оймякон), считался самым тяжелым и фатальным, он проходил над двумя высокими хребтами Черского и Верхоянским, над полюсом вечного холода и зоной сильной облачност</w:t>
      </w:r>
      <w:r>
        <w:rPr>
          <w:b w:val="0"/>
          <w:bCs w:val="0"/>
          <w:color w:val="292c2f"/>
        </w:rPr>
        <w:t xml:space="preserve">и. На высоте полета более 6 тыс. метров пилоты испытывали кислородное голодание и часто теряли сознание.</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Из-за низких температур самолеты обрастали ледяной коркой, замерзало масло, резина становилась хрупкой, лопались шланги, двигатели работали с перебоями, что влияло на трудности при посадке самолетов. Часто случались ситуации, когда самолеты, прилетавшие на</w:t>
      </w:r>
      <w:r>
        <w:rPr>
          <w:b w:val="0"/>
          <w:bCs w:val="0"/>
          <w:color w:val="292c2f"/>
        </w:rPr>
        <w:t xml:space="preserve"> дозаправку в Оймякон, потом не могли несколько суток вылететь далее по маршруту, потому что температура опускалась ниже -55°C и полеты были запрещены.</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Это была ювелирная работа каждого пилота. Информация об этом трагическом и величественном периоде из ис</w:t>
      </w:r>
      <w:r>
        <w:rPr>
          <w:b w:val="0"/>
          <w:bCs w:val="0"/>
          <w:color w:val="292c2f"/>
        </w:rPr>
        <w:t xml:space="preserve">тории советской авиации оставалась засекреченной многие десятилетия. А из-за Холодной войны подвиг летчиков авиатрассы АЛСИБ умалчивался современниками и многие из них даже не получили удостоверения участников войны, имея настоящие боевые награды.</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И тольк</w:t>
      </w:r>
      <w:r>
        <w:rPr>
          <w:b w:val="0"/>
          <w:bCs w:val="0"/>
          <w:color w:val="292c2f"/>
        </w:rPr>
        <w:t xml:space="preserve">о спустя почти восемь десятилетий летом 2021 года заброшенные аэродромы трассы «Аляска-Сибирь» начала обследовать совместная экспедиция Русского географического общества и Минобороны России, чтобы восстановить и сохранить историю феноменального подвига сов</w:t>
      </w:r>
      <w:r>
        <w:rPr>
          <w:b w:val="0"/>
          <w:bCs w:val="0"/>
          <w:color w:val="292c2f"/>
        </w:rPr>
        <w:t xml:space="preserve">етских летчиков-перегонщиков Алсиба.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13. </w:t>
      </w:r>
      <w:r>
        <w:rPr>
          <w:b/>
          <w:bCs/>
          <w:color w:val="292c2f"/>
        </w:rPr>
        <w:t xml:space="preserve">Росреестр представил на форуме в Южно-Сахалинске сервисы на основе искусственного интеллекта.</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Советник руководителя Росреестра </w:t>
      </w:r>
      <w:r>
        <w:rPr>
          <w:b w:val="0"/>
          <w:bCs w:val="0"/>
          <w:color w:val="292c2f"/>
        </w:rPr>
        <w:t xml:space="preserve">Андрей Матвеенко </w:t>
      </w:r>
      <w:r>
        <w:rPr>
          <w:b w:val="0"/>
          <w:bCs w:val="0"/>
          <w:color w:val="292c2f"/>
        </w:rPr>
        <w:t xml:space="preserve">принял участие в федеральном форуме «Управление регионом на основе данных» в Южно-Сахалинске, который организован Минцифры России и Правительством Сахалинской области.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На пленарном заседании он выступил с докладом, посвященном темам перехода Росреестра на</w:t>
      </w:r>
      <w:r>
        <w:rPr>
          <w:b w:val="0"/>
          <w:bCs w:val="0"/>
          <w:color w:val="292c2f"/>
        </w:rPr>
        <w:t xml:space="preserve"> электронное взаимодействие с юридическими лицами, а также использованию искусственного интеллекта (ИИ) при предоставлении услуг по государственной регистрации недвижимости, кадастровому учету и в ходе земельного надзора.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Кроме этого, </w:t>
      </w:r>
      <w:r>
        <w:rPr>
          <w:b w:val="0"/>
          <w:bCs w:val="0"/>
          <w:color w:val="292c2f"/>
        </w:rPr>
        <w:t xml:space="preserve">Андрей Матвеенко</w:t>
      </w:r>
      <w:r>
        <w:rPr>
          <w:b w:val="0"/>
          <w:bCs w:val="0"/>
          <w:color w:val="292c2f"/>
        </w:rPr>
        <w:t xml:space="preserve"> стал участником практико-ориентированной сессии по технологической трансформации Сахалинской области, где были представлены решения на основе систем ИИ, групповой работы экспертов в цифровых проектных офисах.</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своем докладе он напомнил, что с 1 марта 20</w:t>
      </w:r>
      <w:r>
        <w:rPr>
          <w:b w:val="0"/>
          <w:bCs w:val="0"/>
          <w:color w:val="292c2f"/>
        </w:rPr>
        <w:t xml:space="preserve">25 года, после вступления в силу Федерального закона № 487-ФЗ, Росреестр перешел </w:t>
      </w:r>
      <w:hyperlink r:id="rId24" w:tooltip="https://rosreestr.gov.ru/press/archive/rosreestr-polnostyu-perekhodit-na-elektronnoe-vzaimodeystvie-s-yurlitsami/" w:history="1">
        <w:r>
          <w:rPr>
            <w:b w:val="0"/>
            <w:bCs w:val="0"/>
            <w:color w:val="292c2f"/>
          </w:rPr>
          <w:t xml:space="preserve">на электронный документооборот с юридическими лицами</w:t>
        </w:r>
      </w:hyperlink>
      <w:r>
        <w:rPr>
          <w:b w:val="0"/>
          <w:bCs w:val="0"/>
          <w:color w:val="292c2f"/>
        </w:rPr>
        <w:t xml:space="preserve">. Это стало логическим продолжением работы по предоставлению документов в ведомство в электронном виде нотариусами (с 1 февраля 2019 года) и органами государственной власти и местного самоуправления (с 1 января 2023 года).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w:t>
      </w:r>
      <w:r>
        <w:rPr>
          <w:b w:val="0"/>
          <w:bCs w:val="0"/>
          <w:color w:val="292c2f"/>
        </w:rPr>
        <w:t xml:space="preserve">С 2020 по 2024 годы количество предоставляемых услуг Росреестра выросло более чем в 3 раза - до 404 млн в год, это составляет 16 услуг в секунду. До 60% выросло количество электронных учетных-регистрационных действий. Переход на электронный документооборот</w:t>
      </w:r>
      <w:r>
        <w:rPr>
          <w:b w:val="0"/>
          <w:bCs w:val="0"/>
          <w:color w:val="292c2f"/>
        </w:rPr>
        <w:t xml:space="preserve"> с юридическими лицами избавит от необходимости оформления документов на бумажном носителе и ускорит процесс получения государственных услуг в сфере недвижимости. Данная мера – часть нашей большой работы по сокращению инвестиционно-строительного цикла, кот</w:t>
      </w:r>
      <w:r>
        <w:rPr>
          <w:b w:val="0"/>
          <w:bCs w:val="0"/>
          <w:color w:val="292c2f"/>
        </w:rPr>
        <w:t xml:space="preserve">орую мы проводим по поручению Заместителя Председателя Правительства РФ Марата Хуснуллина»</w:t>
      </w:r>
      <w:r>
        <w:rPr>
          <w:b w:val="0"/>
          <w:bCs w:val="0"/>
          <w:color w:val="292c2f"/>
        </w:rPr>
        <w:t xml:space="preserve">, - отметил </w:t>
      </w:r>
      <w:r>
        <w:rPr>
          <w:b w:val="0"/>
          <w:bCs w:val="0"/>
          <w:color w:val="292c2f"/>
        </w:rPr>
        <w:t xml:space="preserve">Андрей Матвеенко</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По его словам, Росреестр разработал соответствующую памятку для застройщиков и провел с ними ряд встреч, где специалисты пояснили нюансы нового взаимодействия с юридическими лицами и возможности использования электронных инструментов.</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Также советник ру</w:t>
      </w:r>
      <w:r>
        <w:rPr>
          <w:b w:val="0"/>
          <w:bCs w:val="0"/>
          <w:color w:val="292c2f"/>
        </w:rPr>
        <w:t xml:space="preserve">ководителя рассказал о высокотехнологичных сервисах ведомства с применением технологий ИИ. В частности, сервис </w:t>
      </w:r>
      <w:r>
        <w:rPr>
          <w:b w:val="0"/>
          <w:bCs w:val="0"/>
          <w:color w:val="292c2f"/>
        </w:rPr>
        <w:t xml:space="preserve">«Цифровой помощник регистратора ЕВА»</w:t>
      </w:r>
      <w:r>
        <w:rPr>
          <w:b w:val="0"/>
          <w:bCs w:val="0"/>
          <w:color w:val="292c2f"/>
        </w:rPr>
        <w:t xml:space="preserve"> помог автоматизировать процесс приёма документов в МФЦ. Также он используется государственными регистраторами Росреестра в ходе правовой экспертизы, что позволяет обрабатывать 30–40 пакетов документов ежедневно вместо 10, как было ранее.</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Сервис </w:t>
      </w:r>
      <w:r>
        <w:rPr>
          <w:b w:val="0"/>
          <w:bCs w:val="0"/>
          <w:color w:val="292c2f"/>
        </w:rPr>
        <w:t xml:space="preserve">«Умный кадастр»</w:t>
      </w:r>
      <w:r>
        <w:rPr>
          <w:b w:val="0"/>
          <w:bCs w:val="0"/>
          <w:color w:val="292c2f"/>
        </w:rPr>
        <w:t xml:space="preserve"> позволил при помощи нейронных сетей массово выявлять незарегистрированные объекты недвижимости, исключая ручной точечный анализ и подворовой обход. Также он применяется для выявления расхождений в сведениях о фактическом расположении объекта со сведениями</w:t>
      </w:r>
      <w:r>
        <w:rPr>
          <w:b w:val="0"/>
          <w:bCs w:val="0"/>
          <w:color w:val="292c2f"/>
        </w:rPr>
        <w:t xml:space="preserve">, содержащимися в ЕГРН, то есть для формирования полного и точного реестра недвижимости.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Кроме того, Андрей Матвеенко рассказал о витрине данных Единого государственного реестра недвижимости (ЕГРН), с помощью которой на портале госуслуг введен в эксплуата</w:t>
      </w:r>
      <w:r>
        <w:rPr>
          <w:b w:val="0"/>
          <w:bCs w:val="0"/>
          <w:color w:val="292c2f"/>
        </w:rPr>
        <w:t xml:space="preserve">цию сервис по предоставлению онлайн-выписки. Витрина данных дает возможность бесплатно в режиме онлайн заказать экспресс-выписку из ЕГРН, которая формируется в течение нескольких секунд. Она также обеспечивает онлайн встраивание данных Росреестра в предост</w:t>
      </w:r>
      <w:r>
        <w:rPr>
          <w:b w:val="0"/>
          <w:bCs w:val="0"/>
          <w:color w:val="292c2f"/>
        </w:rPr>
        <w:t xml:space="preserve">авление электронных услуг других ведомств, что сократило срок межведомственного взаимодействия с 1 дня до 5 секунд. В 2024 году витриной данных </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На пленарном заседании</w:t>
      </w:r>
      <w:r>
        <w:rPr>
          <w:b w:val="0"/>
          <w:bCs w:val="0"/>
          <w:color w:val="292c2f"/>
        </w:rPr>
        <w:t xml:space="preserve"> «Философия управления на основе данных и роль искусственного интеллекта в цифровой трансформации субъектов РФ» также выступили губернатор Сахалинской области </w:t>
      </w:r>
      <w:r>
        <w:rPr>
          <w:b w:val="0"/>
          <w:bCs w:val="0"/>
          <w:color w:val="292c2f"/>
        </w:rPr>
        <w:t xml:space="preserve">Валерий Лимаренко</w:t>
      </w:r>
      <w:r>
        <w:rPr>
          <w:b w:val="0"/>
          <w:bCs w:val="0"/>
          <w:color w:val="292c2f"/>
        </w:rPr>
        <w:t xml:space="preserve">, заместитель начальника Управления Президента РФ по развитию информационно-коммуникационных технологий и инфраструктуры связи </w:t>
      </w:r>
      <w:r>
        <w:rPr>
          <w:b w:val="0"/>
          <w:bCs w:val="0"/>
          <w:color w:val="292c2f"/>
        </w:rPr>
        <w:t xml:space="preserve">Олег Хорохордин</w:t>
      </w:r>
      <w:r>
        <w:rPr>
          <w:b w:val="0"/>
          <w:bCs w:val="0"/>
          <w:color w:val="292c2f"/>
        </w:rPr>
        <w:t xml:space="preserve">, заместитель министра цифрового развития, связи и массовых коммуникаций РФ </w:t>
      </w:r>
      <w:r>
        <w:rPr>
          <w:b w:val="0"/>
          <w:bCs w:val="0"/>
          <w:color w:val="292c2f"/>
        </w:rPr>
        <w:t xml:space="preserve">Григорий Борисенко</w:t>
      </w:r>
      <w:r>
        <w:rPr>
          <w:b w:val="0"/>
          <w:bCs w:val="0"/>
          <w:color w:val="292c2f"/>
        </w:rPr>
        <w:t xml:space="preserve">, заместитель начальника управления интерактивных сервисов ФНС России </w:t>
      </w:r>
      <w:r>
        <w:rPr>
          <w:b w:val="0"/>
          <w:bCs w:val="0"/>
          <w:color w:val="292c2f"/>
        </w:rPr>
        <w:t xml:space="preserve">Оя Грицкова</w:t>
      </w:r>
      <w:r>
        <w:rPr>
          <w:b w:val="0"/>
          <w:bCs w:val="0"/>
          <w:color w:val="292c2f"/>
        </w:rPr>
        <w:t xml:space="preserve"> и другие.</w:t>
      </w:r>
      <w:r>
        <w:rPr>
          <w:b w:val="0"/>
          <w:bCs w:val="0"/>
          <w:color w:val="292c2f"/>
          <w14:ligatures w14:val="none"/>
        </w:rPr>
      </w:r>
      <w:r>
        <w:rPr>
          <w:b w:val="0"/>
          <w:bCs w:val="0"/>
          <w:color w:val="292c2f"/>
          <w14:ligatures w14:val="none"/>
        </w:rPr>
      </w:r>
    </w:p>
    <w:p>
      <w:pPr>
        <w:rPr>
          <w:b w:val="0"/>
          <w:bCs w:val="0"/>
          <w:color w:val="292c2f"/>
          <w14:ligatures w14:val="none"/>
        </w:rP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14. </w:t>
      </w:r>
      <w:r>
        <w:rPr>
          <w:b/>
          <w:bCs/>
          <w:color w:val="292c2f"/>
        </w:rPr>
        <w:t xml:space="preserve">Более 518 тыс. объектов оформили россияне с начала «гаражной амнистии».</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начала действия закона о «гаражной амнистии» (сентябрь 2021 года) до 1 января 2025 года Росреестром по всей стране зарегистрировано более 518 тыс. объектов. Оформить по упрощенной схеме незарегистрированный гараж и землю под ним можно будет до 1 сентября</w:t>
      </w:r>
      <w:r>
        <w:rPr>
          <w:b w:val="0"/>
          <w:bCs w:val="0"/>
          <w:color w:val="292c2f"/>
        </w:rPr>
        <w:t xml:space="preserve"> 2026 года.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«Статистика по реализации «гаражной амнистии» продолжает демонстрировать активную динамику. За 3 с лишним года россияне в упрощенном порядке оформили более 518 тыс. объектов - из них 180 тыс. гаражей и 338 тыс. земельных участков под ними. С учетом востреб</w:t>
      </w:r>
      <w:r>
        <w:rPr>
          <w:b w:val="0"/>
          <w:bCs w:val="0"/>
          <w:color w:val="292c2f"/>
        </w:rPr>
        <w:t xml:space="preserve">ованности данной услуги рассматривается вопрос о возможности продления «гаражной амнистии», чтобы как можно больше жителей нашей страны смогли воспользоваться данным механизмом. Отмечу, что это большая и социально значимая работа в интересах людей, которая</w:t>
      </w:r>
      <w:r>
        <w:rPr>
          <w:b w:val="0"/>
          <w:bCs w:val="0"/>
          <w:color w:val="292c2f"/>
        </w:rPr>
        <w:t xml:space="preserve"> вносит вклад в обеспечение гражданского оборота рынка недвижимости и, как следствие, в экономику нашей страны», - </w:t>
      </w:r>
      <w:r>
        <w:rPr>
          <w:b w:val="0"/>
          <w:bCs w:val="0"/>
          <w:color w:val="292c2f"/>
        </w:rPr>
        <w:t xml:space="preserve">заявил руководитель Росреестра </w:t>
      </w:r>
      <w:r>
        <w:rPr>
          <w:b w:val="0"/>
          <w:bCs w:val="0"/>
          <w:color w:val="292c2f"/>
        </w:rPr>
        <w:t xml:space="preserve">Олег Скуфинский</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целях широкого информирования населения о том, как воспользоваться «гаражной амнистией», Росреестр проводит в регионах методическую и разъяснительную работу. В настоящее время отлажены все механизмы и технологии, исключены бюрократические барьеры, и у</w:t>
      </w:r>
      <w:r>
        <w:rPr>
          <w:b w:val="0"/>
          <w:bCs w:val="0"/>
          <w:color w:val="292c2f"/>
        </w:rPr>
        <w:t xml:space="preserve"> граждан есть все возможности стать законными владельцами своих гаражей.</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Руководитель Росреестра </w:t>
      </w:r>
      <w:r>
        <w:rPr>
          <w:b w:val="0"/>
          <w:bCs w:val="0"/>
          <w:color w:val="292c2f"/>
        </w:rPr>
        <w:t xml:space="preserve">также отметил, что только за 2024 год было зарегистрировано почти 200 тыс. объектов (64 633 гаражей и 135 192 земельных участков под ними), что почти на 11% больше, чем за аналогичный период годом ранее. Также дополнительно включены сведения о 25,4 тыс. об</w:t>
      </w:r>
      <w:r>
        <w:rPr>
          <w:b w:val="0"/>
          <w:bCs w:val="0"/>
          <w:color w:val="292c2f"/>
        </w:rPr>
        <w:t xml:space="preserve">ъектах недвижимости, в отношении которых в ЕГРН внесены изменения в сведения о виде объекта недвижимости, благодаря чему собственники указанных объектов смогут оформить землю под гаражами.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Больше всего гаражей зарегистрировали в Омской области (12,6 тыс.)</w:t>
      </w:r>
      <w:r>
        <w:rPr>
          <w:b w:val="0"/>
          <w:bCs w:val="0"/>
          <w:color w:val="292c2f"/>
        </w:rPr>
        <w:t xml:space="preserve">, Московской (8 тыс.), Тюменской области (7,7 тыс.), Республике Татарстан (7,4 тыс.) и Саратовской области (6,6 тыс.).</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Лидерами по числу оформленных земельных участков под гаражами стали Тюменская (17,9 тыс.), Московская (17,2 тыс.), Саратовская (13 тыс.)</w:t>
      </w:r>
      <w:r>
        <w:rPr>
          <w:b w:val="0"/>
          <w:bCs w:val="0"/>
          <w:color w:val="292c2f"/>
        </w:rPr>
        <w:t xml:space="preserve"> области, Пермский край (12,8 тыс.) и Омская область (11,9 тыс.).</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учетом востребованности закона гражданами Росреестр анализирует и совершенствует правоприменительную практику в данной сфере. Так, 9 ноября 2024 г. вступил в силу </w:t>
      </w:r>
      <w:hyperlink r:id="rId25" w:tooltip="http://publication.pravo.gov.ru/document/0001202410290023?ysclid=m368bhuhu1479521419" w:history="1">
        <w:r>
          <w:rPr>
            <w:b w:val="0"/>
            <w:bCs w:val="0"/>
            <w:color w:val="292c2f"/>
          </w:rPr>
          <w:t xml:space="preserve">Федеральный закон № 370-ФЗ</w:t>
        </w:r>
      </w:hyperlink>
      <w:r>
        <w:rPr>
          <w:b w:val="0"/>
          <w:bCs w:val="0"/>
          <w:color w:val="292c2f"/>
        </w:rPr>
        <w:t xml:space="preserve">, уточняющий положения о порядке признания отдельными зданиями гаражей различной этажности. Если ранее упрощенный порядок регистрации распространялся только на одноэтажные гаражи и землю под ними, то теперь это право получили и владельцы двухэтажных гараже</w:t>
      </w:r>
      <w:r>
        <w:rPr>
          <w:b w:val="0"/>
          <w:bCs w:val="0"/>
          <w:color w:val="292c2f"/>
        </w:rPr>
        <w:t xml:space="preserve">й. Процедура оформления для них не поменяется.</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октябре 2023 года вступили в силу поправки, направленные на упрощение процедуры оформления земли под гаражами (ФЗ от 24.07.2023 № </w:t>
      </w:r>
      <w:hyperlink r:id="rId26" w:tooltip="http://publication.pravo.gov.ru/document/0001202307240020" w:history="1">
        <w:r>
          <w:rPr>
            <w:b w:val="0"/>
            <w:bCs w:val="0"/>
            <w:color w:val="292c2f"/>
          </w:rPr>
          <w:t xml:space="preserve">338-ФЗ</w:t>
        </w:r>
      </w:hyperlink>
      <w:r>
        <w:rPr>
          <w:b w:val="0"/>
          <w:bCs w:val="0"/>
          <w:color w:val="292c2f"/>
        </w:rPr>
        <w:t xml:space="preserve">). Например, в советское время много мест под гаражи было предоставлено в полосах отвода железных дорог. Теперь предусмотрен механизм оформления прав на такие объекты. Также при наличии межевого плана на территорию у людей появилась возможность не тратить </w:t>
      </w:r>
      <w:r>
        <w:rPr>
          <w:b w:val="0"/>
          <w:bCs w:val="0"/>
          <w:color w:val="292c2f"/>
        </w:rPr>
        <w:t xml:space="preserve">деньги на привлечение кадастровых инженеров и оформлять участки под гаражами в упрощенном порядке, минимизировав затраты.</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январе 2025 года Государственной Думой принят в первом чтении </w:t>
      </w:r>
      <w:hyperlink r:id="rId27" w:tooltip="https://rosreestr.gov.ru/press/archive/gosduma-prinyala-v-i-chtenii-zakonoproekt-rosreestra-o-podzemnykh-garazhakh/?ysclid=m6otqvh92v145690005" w:history="1">
        <w:r>
          <w:rPr>
            <w:b w:val="0"/>
            <w:bCs w:val="0"/>
            <w:color w:val="292c2f"/>
          </w:rPr>
          <w:t xml:space="preserve">законопроект</w:t>
        </w:r>
      </w:hyperlink>
      <w:r>
        <w:rPr>
          <w:b w:val="0"/>
          <w:bCs w:val="0"/>
          <w:color w:val="292c2f"/>
        </w:rPr>
        <w:t xml:space="preserve">, направленный на защиту прав собственников подземных гаражей. Вводятся такие понятия, как «наземные гаражи», «подземные гаражи» и «подземные гаражные комплексы». Предусмотрена норма, по которой владельцы таких объектов смогут использовать земельный участо</w:t>
      </w:r>
      <w:r>
        <w:rPr>
          <w:b w:val="0"/>
          <w:bCs w:val="0"/>
          <w:color w:val="292c2f"/>
        </w:rPr>
        <w:t xml:space="preserve">к над гаражом для его ремонта. Это можно будет сделать в упрощенном режиме – на основании разрешения местной администрации. Кроме того, владельцы подземных гаражей, у которых есть надземные конструкции (например, стойки в виде труб, крыша и т.д.), смогут о</w:t>
      </w:r>
      <w:r>
        <w:rPr>
          <w:b w:val="0"/>
          <w:bCs w:val="0"/>
          <w:color w:val="292c2f"/>
        </w:rPr>
        <w:t xml:space="preserve">формить в собственность земельный участок над таким объектом. Это позволит владе</w:t>
      </w:r>
      <w:r>
        <w:rPr>
          <w:b w:val="0"/>
          <w:bCs w:val="0"/>
          <w:color w:val="292c2f"/>
        </w:rPr>
        <w:t xml:space="preserve">льцам полноценно распоряжаться своим имуществом.</w:t>
      </w:r>
      <w:r>
        <w:rPr>
          <w:b w:val="0"/>
          <w:bCs w:val="0"/>
          <w:color w:val="292c2f"/>
          <w14:ligatures w14:val="none"/>
        </w:rPr>
      </w:r>
      <w:r>
        <w:rPr>
          <w:b w:val="0"/>
          <w:bCs w:val="0"/>
          <w:color w:val="292c2f"/>
          <w14:ligatures w14:val="none"/>
        </w:rPr>
      </w:r>
    </w:p>
    <w:p>
      <w:pPr>
        <w:spacing w:after="0" w:afterAutospacing="0"/>
        <w:rPr>
          <w:b w:val="0"/>
          <w:bCs w:val="0"/>
          <w:color w:val="292c2f"/>
        </w:rPr>
      </w:pPr>
      <w:r>
        <w:rPr>
          <w:b w:val="0"/>
          <w:bCs w:val="0"/>
          <w:color w:val="292c2f"/>
        </w:rPr>
      </w:r>
      <w:r>
        <w:rPr>
          <w:b w:val="0"/>
          <w:bCs w:val="0"/>
          <w:color w:val="292c2f"/>
        </w:rPr>
      </w:r>
      <w:r>
        <w:rPr>
          <w:b w:val="0"/>
          <w:bCs w:val="0"/>
          <w:color w:val="292c2f"/>
        </w:rPr>
      </w:r>
    </w:p>
    <w:p>
      <w:pPr>
        <w:pStyle w:val="954"/>
        <w:rPr>
          <w:b/>
          <w:color w:val="292c2f"/>
        </w:rPr>
      </w:pPr>
      <w:r>
        <w:rPr>
          <w:b/>
          <w:bCs/>
          <w:color w:val="292c2f"/>
        </w:rPr>
        <w:t xml:space="preserve">15</w:t>
      </w:r>
      <w:r>
        <w:rPr>
          <w:b/>
          <w:bCs/>
          <w:color w:val="292c2f"/>
        </w:rPr>
        <w:t xml:space="preserve">. </w:t>
      </w:r>
      <w:r>
        <w:rPr>
          <w:b/>
          <w:bCs/>
          <w:color w:val="292c2f"/>
        </w:rPr>
        <w:t xml:space="preserve">Доля объектов без правообладателей в Новосибирской области сократилась на 13%</w:t>
      </w:r>
      <w:r>
        <w:rPr>
          <w:b/>
          <w:bCs/>
          <w:color w:val="292c2f"/>
        </w:rPr>
        <w:t xml:space="preserve">.</w:t>
      </w:r>
      <w:r>
        <w:rPr>
          <w:b/>
          <w:color w:val="292c2f"/>
        </w:rPr>
      </w:r>
      <w:r>
        <w:rPr>
          <w:b/>
          <w:color w:val="292c2f"/>
        </w:rPr>
      </w:r>
    </w:p>
    <w:p>
      <w:pPr>
        <w:pStyle w:val="954"/>
        <w:rPr>
          <w:color w:val="292c2f"/>
        </w:rPr>
      </w:pPr>
      <w:r>
        <w:rPr>
          <w:b w:val="0"/>
          <w:bCs w:val="0"/>
          <w:color w:val="292c2f"/>
        </w:rPr>
        <w:t xml:space="preserve">В Управлении Росреестра по Новосибирской области ведется работа по повышению качества данных Е</w:t>
      </w:r>
      <w:r>
        <w:rPr>
          <w:b w:val="0"/>
          <w:bCs w:val="0"/>
          <w:color w:val="292c2f"/>
        </w:rPr>
        <w:t xml:space="preserve">диного государственного реестра недвижимости (ЕГРН), в том числе по снижению количества объектов без прав. Так, за 5 лет показатель вырос на 13%, на начало 2025 года в реестре недвижимости уже 85% объектов недвижимости содержат сведения о правообладателях.</w:t>
      </w:r>
      <w:r>
        <w:rPr>
          <w:color w:val="292c2f"/>
        </w:rPr>
      </w:r>
      <w:r>
        <w:rPr>
          <w:color w:val="292c2f"/>
        </w:rPr>
      </w:r>
    </w:p>
    <w:p>
      <w:pPr>
        <w:pStyle w:val="954"/>
        <w:spacing w:after="0" w:afterAutospacing="0"/>
        <w:rPr>
          <w:b w:val="0"/>
          <w:bCs w:val="0"/>
          <w:color w:val="292c2f"/>
          <w:highlight w:val="none"/>
        </w:rPr>
      </w:pPr>
      <w:r>
        <w:rPr>
          <w:b w:val="0"/>
          <w:bCs w:val="0"/>
          <w:color w:val="292c2f"/>
        </w:rPr>
        <w:t xml:space="preserve">На эффективное снижение количества объектов недвижимости без прав повлияла реализация закона о выявлении правообладателей ранее учтенных объектов недвижимости (№ 518-ФЗ), </w:t>
      </w:r>
      <w:r>
        <w:rPr>
          <w:b w:val="0"/>
          <w:bCs w:val="0"/>
          <w:color w:val="292c2f"/>
        </w:rPr>
        <w:t xml:space="preserve">вступившего в силу в июне 2021 года. За все время действия закона в ЕГРН внесены сведения о выявленных правообладателях в отношении 1,8 тысячах объектов недвижимости, более 14 тысяч объектов исключены из ЕГРН, как прекратившие своё существование. Принятые </w:t>
      </w:r>
      <w:r>
        <w:rPr>
          <w:b w:val="0"/>
          <w:bCs w:val="0"/>
          <w:color w:val="292c2f"/>
        </w:rPr>
        <w:t xml:space="preserve">меры также простимулировали владельцев недвижимости самостоятельно обращаться с заявлениями о регистрации ранее возникших прав. По состоянию на 1 января 2025 года в ЕГРН внесено более 3 млн объектов недвижимого имущества, что на 8% больше, чем 5 лет назад.</w:t>
      </w:r>
      <w:r>
        <w:rPr>
          <w:b w:val="0"/>
          <w:bCs w:val="0"/>
          <w:color w:val="292c2f"/>
          <w:highlight w:val="none"/>
        </w:rPr>
      </w:r>
      <w:r>
        <w:rPr>
          <w:b w:val="0"/>
          <w:bCs w:val="0"/>
          <w:color w:val="292c2f"/>
          <w:highlight w:val="none"/>
        </w:rPr>
      </w:r>
    </w:p>
    <w:p>
      <w:pPr>
        <w:spacing w:after="0" w:afterAutospacing="0"/>
        <w:rPr>
          <w:b/>
          <w:bCs/>
          <w:color w:val="292c2f"/>
        </w:rPr>
      </w:pPr>
      <w:r>
        <w:rPr>
          <w:b/>
          <w:bCs/>
          <w:color w:val="292c2f"/>
          <w:highlight w:val="none"/>
        </w:rPr>
      </w:r>
      <w:r>
        <w:rPr>
          <w:b/>
          <w:bCs/>
          <w:color w:val="292c2f"/>
        </w:rPr>
      </w:r>
      <w:r>
        <w:rPr>
          <w:b/>
          <w:bCs/>
          <w:color w:val="292c2f"/>
        </w:rPr>
      </w:r>
    </w:p>
    <w:p>
      <w:pPr>
        <w:pStyle w:val="954"/>
        <w:rPr>
          <w:b/>
          <w:color w:val="292c2f"/>
        </w:rPr>
      </w:pPr>
      <w:r>
        <w:rPr>
          <w:b/>
          <w:bCs/>
          <w:color w:val="292c2f"/>
        </w:rPr>
        <w:t xml:space="preserve">16. Изменения в сфере долевого строительства с 1 марта 2025 года.</w:t>
      </w:r>
      <w:r>
        <w:rPr>
          <w:b/>
          <w:color w:val="292c2f"/>
        </w:rPr>
      </w:r>
      <w:r>
        <w:rPr>
          <w:b/>
          <w:color w:val="292c2f"/>
        </w:rPr>
      </w:r>
    </w:p>
    <w:p>
      <w:pPr>
        <w:pStyle w:val="954"/>
        <w:rPr>
          <w:color w:val="292c2f"/>
        </w:rPr>
      </w:pPr>
      <w:r>
        <w:rPr>
          <w:b w:val="0"/>
          <w:bCs w:val="0"/>
          <w:color w:val="292c2f"/>
        </w:rPr>
        <w:t xml:space="preserve">27 февраля 2025 новосибирский Росреестр ответит на вопросы по изменениям </w:t>
      </w:r>
      <w:r>
        <w:rPr>
          <w:b w:val="0"/>
          <w:bCs w:val="0"/>
          <w:color w:val="292c2f"/>
        </w:rPr>
        <w:t xml:space="preserve">в сфере долевого строительства.</w:t>
      </w:r>
      <w:r>
        <w:rPr>
          <w:color w:val="292c2f"/>
        </w:rPr>
      </w:r>
      <w:r>
        <w:rPr>
          <w:color w:val="292c2f"/>
        </w:rPr>
      </w:r>
    </w:p>
    <w:p>
      <w:pPr>
        <w:pStyle w:val="954"/>
        <w:rPr>
          <w:color w:val="292c2f"/>
        </w:rPr>
      </w:pPr>
      <w:r>
        <w:rPr>
          <w:b w:val="0"/>
          <w:bCs w:val="0"/>
          <w:color w:val="292c2f"/>
        </w:rPr>
        <w:t xml:space="preserve">С 1 марта 2025 года Росреестр переходит на электро</w:t>
      </w:r>
      <w:r>
        <w:rPr>
          <w:b w:val="0"/>
          <w:bCs w:val="0"/>
          <w:color w:val="292c2f"/>
        </w:rPr>
        <w:t xml:space="preserve">нное взаимодействие с юридическими лицами. Какие права и сделки необходимо направлять только в электронном виде, а с какими документами можно будет обратиться в МФЦ, на эти и другие вопросы ответит начальник отдела государственной регистрации недвижимости </w:t>
      </w:r>
      <w:r>
        <w:rPr>
          <w:b w:val="0"/>
          <w:bCs w:val="0"/>
          <w:color w:val="292c2f"/>
        </w:rPr>
        <w:t xml:space="preserve">№ 2 Ястребова Любовь Борисовна.</w:t>
      </w:r>
      <w:r>
        <w:rPr>
          <w:color w:val="292c2f"/>
        </w:rPr>
      </w:r>
      <w:r>
        <w:rPr>
          <w:color w:val="292c2f"/>
        </w:rPr>
      </w:r>
    </w:p>
    <w:p>
      <w:pPr>
        <w:pStyle w:val="954"/>
        <w:rPr>
          <w:color w:val="292c2f"/>
        </w:rPr>
      </w:pPr>
      <w:r>
        <w:rPr>
          <w:b w:val="0"/>
          <w:bCs w:val="0"/>
          <w:color w:val="292c2f"/>
        </w:rPr>
        <w:t xml:space="preserve">Звонки принимаются с 10 до 12 часов по телефону 8 (383) 211-21-15.</w:t>
      </w:r>
      <w:r>
        <w:rPr>
          <w:color w:val="292c2f"/>
        </w:rPr>
      </w:r>
      <w:r>
        <w:rPr>
          <w:color w:val="292c2f"/>
        </w:rPr>
      </w:r>
    </w:p>
    <w:p>
      <w:pPr>
        <w:pStyle w:val="954"/>
        <w:rPr>
          <w:color w:val="292c2f"/>
        </w:rPr>
      </w:pPr>
      <w:r>
        <w:rPr>
          <w:b w:val="0"/>
          <w:bCs w:val="0"/>
          <w:color w:val="292c2f"/>
        </w:rPr>
      </w:r>
      <w:r>
        <w:rPr>
          <w:color w:val="292c2f"/>
        </w:rPr>
      </w:r>
      <w:r>
        <w:rPr>
          <w:color w:val="292c2f"/>
        </w:rPr>
      </w:r>
    </w:p>
    <w:p>
      <w:pPr>
        <w:pStyle w:val="954"/>
        <w:rPr>
          <w:b/>
          <w:color w:val="292c2f"/>
        </w:rPr>
      </w:pPr>
      <w:r>
        <w:rPr>
          <w:b/>
          <w:bCs/>
          <w:color w:val="292c2f"/>
        </w:rPr>
        <w:t xml:space="preserve">17. Сделки с недвижимостью без межевания участка станут невозможными.</w:t>
      </w:r>
      <w:r>
        <w:rPr>
          <w:b/>
          <w:color w:val="292c2f"/>
        </w:rPr>
      </w:r>
      <w:r>
        <w:rPr>
          <w:b/>
          <w:color w:val="292c2f"/>
        </w:rPr>
      </w:r>
    </w:p>
    <w:p>
      <w:pPr>
        <w:pStyle w:val="954"/>
        <w:rPr>
          <w:color w:val="292c2f"/>
        </w:rPr>
      </w:pPr>
      <w:r>
        <w:rPr>
          <w:b w:val="0"/>
          <w:bCs w:val="0"/>
          <w:color w:val="292c2f"/>
        </w:rPr>
        <w:t xml:space="preserve">Вопрос о необходимости установления границ земельных участков больше нельзя игнорировать и откладывать.</w:t>
      </w:r>
      <w:r>
        <w:rPr>
          <w:color w:val="292c2f"/>
        </w:rPr>
      </w:r>
      <w:r>
        <w:rPr>
          <w:color w:val="292c2f"/>
        </w:rPr>
      </w:r>
    </w:p>
    <w:p>
      <w:pPr>
        <w:pStyle w:val="954"/>
        <w:rPr>
          <w:color w:val="292c2f"/>
        </w:rPr>
      </w:pPr>
      <w:r>
        <w:rPr>
          <w:b w:val="0"/>
          <w:bCs w:val="0"/>
          <w:color w:val="292c2f"/>
        </w:rPr>
        <w:t xml:space="preserve">С 1 марта 2025 года регистрация прав в отношении земельного участка не сможет быть выполнена, если в Едином государственном реестре недвижимости (ЕГРН) отсутствуют сведения о местоположении его границ.</w:t>
      </w:r>
      <w:r>
        <w:rPr>
          <w:color w:val="292c2f"/>
        </w:rPr>
      </w:r>
      <w:r>
        <w:rPr>
          <w:color w:val="292c2f"/>
        </w:rPr>
      </w:r>
    </w:p>
    <w:p>
      <w:pPr>
        <w:pStyle w:val="954"/>
        <w:rPr>
          <w:color w:val="292c2f"/>
        </w:rPr>
      </w:pPr>
      <w:r>
        <w:rPr>
          <w:b w:val="0"/>
          <w:bCs w:val="0"/>
          <w:color w:val="292c2f"/>
        </w:rPr>
        <w:t xml:space="preserve">Также нельзя будет поставить на кадастровый учет или оформить права на здание, сооружение или объект незавершенного строительства, расположенные на земельном участке без учтенных границ.</w:t>
      </w:r>
      <w:r>
        <w:rPr>
          <w:color w:val="292c2f"/>
        </w:rPr>
      </w:r>
      <w:r>
        <w:rPr>
          <w:color w:val="292c2f"/>
        </w:rPr>
      </w:r>
    </w:p>
    <w:p>
      <w:pPr>
        <w:pStyle w:val="954"/>
        <w:rPr>
          <w:color w:val="292c2f"/>
        </w:rPr>
      </w:pPr>
      <w:r>
        <w:rPr>
          <w:b w:val="0"/>
          <w:bCs w:val="0"/>
          <w:color w:val="292c2f"/>
        </w:rPr>
        <w:t xml:space="preserve">Применение новых положений не зависит ни от категории земельного участка, ни от вида его разрешенного использования.</w:t>
      </w:r>
      <w:r>
        <w:rPr>
          <w:color w:val="292c2f"/>
        </w:rPr>
      </w:r>
      <w:r>
        <w:rPr>
          <w:color w:val="292c2f"/>
        </w:rPr>
      </w:r>
    </w:p>
    <w:p>
      <w:pPr>
        <w:pStyle w:val="954"/>
        <w:rPr>
          <w:color w:val="292c2f"/>
        </w:rPr>
      </w:pPr>
      <w:r>
        <w:rPr>
          <w:b w:val="0"/>
          <w:bCs w:val="0"/>
          <w:color w:val="292c2f"/>
        </w:rPr>
        <w:t xml:space="preserve">Таким образом, если межевание участка не сделано, любую сделку с ним (купля-продажа, дарение или наследование) Росреестр приостановит, как и оформление возведенного на нем здания или сооружения.</w:t>
      </w:r>
      <w:r>
        <w:rPr>
          <w:color w:val="292c2f"/>
        </w:rPr>
      </w:r>
      <w:r>
        <w:rPr>
          <w:color w:val="292c2f"/>
        </w:rPr>
      </w:r>
    </w:p>
    <w:p>
      <w:pPr>
        <w:pStyle w:val="954"/>
        <w:rPr>
          <w:color w:val="292c2f"/>
        </w:rPr>
      </w:pPr>
      <w:r>
        <w:rPr>
          <w:b w:val="0"/>
          <w:bCs w:val="0"/>
          <w:color w:val="292c2f"/>
        </w:rPr>
        <w:t xml:space="preserve">Новосибирский Росреестр разъясняет, что необходимо сделать уже сейчас, если у вас есть земельный участок и вы планируете с ним сделку ближайшее время или в перспективе:</w:t>
      </w:r>
      <w:r>
        <w:rPr>
          <w:color w:val="292c2f"/>
        </w:rPr>
      </w:r>
      <w:r>
        <w:rPr>
          <w:color w:val="292c2f"/>
        </w:rPr>
      </w:r>
    </w:p>
    <w:p>
      <w:pPr>
        <w:pStyle w:val="954"/>
        <w:rPr>
          <w:color w:val="292c2f"/>
        </w:rPr>
      </w:pPr>
      <w:r>
        <w:rPr>
          <w:b w:val="0"/>
          <w:bCs w:val="0"/>
          <w:color w:val="292c2f"/>
        </w:rPr>
        <w:t xml:space="preserve">- проверьте статус участка на публичной кадастровой карте портала Национальная система пространственных данных , сведения о местоположении границ участка также указываются в выписке из ЕГРН, которую можно получить как в электронном, так и в бумажном виде;</w:t>
      </w:r>
      <w:r>
        <w:rPr>
          <w:color w:val="292c2f"/>
        </w:rPr>
      </w:r>
      <w:r>
        <w:rPr>
          <w:color w:val="292c2f"/>
        </w:rPr>
      </w:r>
    </w:p>
    <w:p>
      <w:pPr>
        <w:pStyle w:val="954"/>
        <w:rPr>
          <w:color w:val="292c2f"/>
        </w:rPr>
      </w:pPr>
      <w:r>
        <w:rPr>
          <w:b w:val="0"/>
          <w:bCs w:val="0"/>
          <w:color w:val="292c2f"/>
        </w:rPr>
        <w:t xml:space="preserve">- при необходимости закажите межевание, для этого необходимо обратиться к лицензированному кадастровому инженеру, который выполнит все замеры, согласует границы с соседями и может предоставить документы в Росреестр в электронном виде;</w:t>
      </w:r>
      <w:r>
        <w:rPr>
          <w:color w:val="292c2f"/>
        </w:rPr>
      </w:r>
      <w:r>
        <w:rPr>
          <w:color w:val="292c2f"/>
        </w:rPr>
      </w:r>
    </w:p>
    <w:p>
      <w:pPr>
        <w:pStyle w:val="954"/>
        <w:rPr>
          <w:color w:val="292c2f"/>
        </w:rPr>
      </w:pPr>
      <w:r>
        <w:rPr>
          <w:b w:val="0"/>
          <w:bCs w:val="0"/>
          <w:color w:val="292c2f"/>
        </w:rPr>
        <w:t xml:space="preserve">- перед заключением сделки с земельным участком либо оформлением здания убедитесь, что сведения об установлении границ участка внесены в ЕГРН.</w:t>
      </w:r>
      <w:r>
        <w:rPr>
          <w:color w:val="292c2f"/>
        </w:rPr>
      </w:r>
      <w:r>
        <w:rPr>
          <w:color w:val="292c2f"/>
        </w:rPr>
      </w:r>
    </w:p>
    <w:p>
      <w:pPr>
        <w:pStyle w:val="954"/>
        <w:rPr>
          <w:b/>
          <w:color w:val="292c2f"/>
        </w:rPr>
      </w:pPr>
      <w:r>
        <w:rPr>
          <w:b w:val="0"/>
          <w:bCs w:val="0"/>
          <w:color w:val="292c2f"/>
        </w:rPr>
      </w:r>
      <w:r>
        <w:rPr>
          <w:b/>
          <w:color w:val="292c2f"/>
        </w:rPr>
      </w:r>
      <w:r>
        <w:rPr>
          <w:b/>
          <w:color w:val="292c2f"/>
        </w:rPr>
      </w:r>
    </w:p>
    <w:p>
      <w:pPr>
        <w:pStyle w:val="954"/>
        <w:rPr>
          <w:b/>
          <w:color w:val="292c2f"/>
        </w:rPr>
      </w:pPr>
      <w:r>
        <w:rPr>
          <w:b/>
          <w:bCs/>
          <w:color w:val="292c2f"/>
        </w:rPr>
        <w:t xml:space="preserve">18. Специалисты новосибирского Росреестра провели консультации в Новосибирской областной библиотеке.</w:t>
      </w:r>
      <w:r>
        <w:rPr>
          <w:b/>
          <w:color w:val="292c2f"/>
        </w:rPr>
      </w:r>
      <w:r>
        <w:rPr>
          <w:b/>
          <w:color w:val="292c2f"/>
        </w:rPr>
      </w:r>
    </w:p>
    <w:p>
      <w:pPr>
        <w:pStyle w:val="954"/>
        <w:rPr>
          <w:color w:val="292c2f"/>
        </w:rPr>
      </w:pPr>
      <w:r>
        <w:rPr>
          <w:b w:val="0"/>
          <w:bCs w:val="0"/>
          <w:color w:val="292c2f"/>
        </w:rPr>
        <w:t xml:space="preserve">25 февраля 2025 года на площадке Новосибирской государственной областной научной библиотеки специалисты новосибирского Росреестра провели консультации граждан.</w:t>
      </w:r>
      <w:r>
        <w:rPr>
          <w:color w:val="292c2f"/>
        </w:rPr>
      </w:r>
      <w:r>
        <w:rPr>
          <w:color w:val="292c2f"/>
        </w:rPr>
      </w:r>
    </w:p>
    <w:p>
      <w:pPr>
        <w:pStyle w:val="954"/>
        <w:rPr>
          <w:color w:val="292c2f"/>
        </w:rPr>
      </w:pPr>
      <w:r>
        <w:rPr>
          <w:b w:val="0"/>
          <w:bCs w:val="0"/>
          <w:color w:val="292c2f"/>
        </w:rPr>
        <w:t xml:space="preserve">Всего за консультацией обратился 21 человек, из них 9 жителей Новосибирской области получили консультации по телефону, 12 жителей города и области были проконсультированы очно.</w:t>
      </w:r>
      <w:r>
        <w:rPr>
          <w:color w:val="292c2f"/>
        </w:rPr>
      </w:r>
      <w:r>
        <w:rPr>
          <w:color w:val="292c2f"/>
        </w:rPr>
      </w:r>
    </w:p>
    <w:p>
      <w:pPr>
        <w:pStyle w:val="954"/>
        <w:rPr>
          <w:color w:val="292c2f"/>
        </w:rPr>
      </w:pPr>
      <w:r>
        <w:rPr>
          <w:b w:val="0"/>
          <w:bCs w:val="0"/>
          <w:color w:val="292c2f"/>
        </w:rPr>
        <w:t xml:space="preserve">Основные вопросы, с которыми обращались граждане, касались оформления дачных земельных участков и расположенных на них зданий и сооружений, порядка осуществления государственного кадастрового учета, уточнения грани</w:t>
      </w:r>
      <w:r>
        <w:rPr>
          <w:b w:val="0"/>
          <w:bCs w:val="0"/>
          <w:color w:val="292c2f"/>
        </w:rPr>
        <w:t xml:space="preserve">ц земельных участков, действий, в случае нарушения соседями границ земельных участков, либо отсутствие должного ухода за участком (заброшенные участки), а также действий, необходимых для проверки объекта недвижимости перед заключением сделки купли-продажи.</w:t>
      </w:r>
      <w:r>
        <w:rPr>
          <w:color w:val="292c2f"/>
        </w:rPr>
      </w:r>
      <w:r>
        <w:rPr>
          <w:color w:val="292c2f"/>
        </w:rPr>
      </w:r>
    </w:p>
    <w:p>
      <w:pPr>
        <w:pStyle w:val="954"/>
        <w:rPr>
          <w:color w:val="292c2f"/>
        </w:rPr>
      </w:pPr>
      <w:r>
        <w:rPr>
          <w:b w:val="0"/>
          <w:bCs w:val="0"/>
          <w:color w:val="292c2f"/>
        </w:rPr>
        <w:t xml:space="preserve">Все граждане получили конкре</w:t>
      </w:r>
      <w:r>
        <w:rPr>
          <w:b w:val="0"/>
          <w:bCs w:val="0"/>
          <w:color w:val="292c2f"/>
        </w:rPr>
        <w:t xml:space="preserve">тные советы, рекомендации, необходимую информацию. «Посетители поблагодарили нас за проведение такого важного мероприятия, а мы в свою очередь выражаем благодарность руководству  и сотрудникам Управления Росреестра по Новосибирской области за плодотворное </w:t>
      </w:r>
      <w:r>
        <w:rPr>
          <w:b w:val="0"/>
          <w:bCs w:val="0"/>
          <w:color w:val="292c2f"/>
        </w:rPr>
        <w:t xml:space="preserve">сотрудничество в информационном просвещении граждан. Надеемся на дальнейшее проведение совместных и актуальных мероприятий», – поделилась заведущая сектором правовой информации Новосибирской государственной областной научной библиотеки Анастасия Соломкина.</w:t>
      </w:r>
      <w:r>
        <w:rPr>
          <w:color w:val="292c2f"/>
        </w:rPr>
      </w:r>
      <w:r>
        <w:rPr>
          <w:color w:val="292c2f"/>
        </w:rPr>
      </w:r>
    </w:p>
    <w:p>
      <w:pPr>
        <w:pStyle w:val="954"/>
        <w:rPr>
          <w:color w:val="292c2f"/>
        </w:rPr>
      </w:pPr>
      <w:r>
        <w:rPr>
          <w:b w:val="0"/>
          <w:bCs w:val="0"/>
          <w:color w:val="292c2f"/>
        </w:rPr>
        <w:t xml:space="preserve">Напомним, что новосибирский Росреестр на постоянной основе проводит встречи с гражданами в целях оказания им бесплатной юридической помощи.</w:t>
      </w:r>
      <w:r>
        <w:rPr>
          <w:color w:val="292c2f"/>
        </w:rPr>
      </w:r>
      <w:r>
        <w:rPr>
          <w:color w:val="292c2f"/>
        </w:rPr>
      </w:r>
    </w:p>
    <w:p>
      <w:pPr>
        <w:pStyle w:val="954"/>
        <w:rPr>
          <w:color w:val="292c2f"/>
        </w:rPr>
      </w:pPr>
      <w:r>
        <w:rPr>
          <w:b w:val="0"/>
          <w:bCs w:val="0"/>
          <w:color w:val="292c2f"/>
        </w:rPr>
        <w:t xml:space="preserve">Анонсы консультационных дней публикуются на официальном сайте Росреестра  и на официальных страницах Управления в социальных сетях.</w:t>
      </w:r>
      <w:r>
        <w:rPr>
          <w:color w:val="292c2f"/>
        </w:rPr>
      </w:r>
      <w:r>
        <w:rPr>
          <w:color w:val="292c2f"/>
        </w:rPr>
      </w:r>
    </w:p>
    <w:p>
      <w:pPr>
        <w:pStyle w:val="954"/>
        <w:rPr>
          <w:color w:val="292c2f"/>
        </w:rPr>
      </w:pPr>
      <w:r>
        <w:rPr>
          <w:b w:val="0"/>
          <w:bCs w:val="0"/>
          <w:color w:val="292c2f"/>
        </w:rPr>
      </w:r>
      <w:r>
        <w:rPr>
          <w:color w:val="292c2f"/>
        </w:rPr>
      </w:r>
      <w:r>
        <w:rPr>
          <w:color w:val="292c2f"/>
        </w:rPr>
      </w:r>
    </w:p>
    <w:p>
      <w:pPr>
        <w:pStyle w:val="954"/>
        <w:rPr>
          <w:b/>
          <w:color w:val="292c2f"/>
        </w:rPr>
      </w:pPr>
      <w:r>
        <w:rPr>
          <w:b/>
          <w:bCs/>
          <w:color w:val="292c2f"/>
        </w:rPr>
        <w:t xml:space="preserve">19. Предоставление документов юридическими лицами с 01.03.2025 в электронном виде.</w:t>
      </w:r>
      <w:r>
        <w:rPr>
          <w:b/>
          <w:color w:val="292c2f"/>
        </w:rPr>
      </w:r>
      <w:r>
        <w:rPr>
          <w:b/>
          <w:color w:val="292c2f"/>
        </w:rPr>
      </w:r>
    </w:p>
    <w:p>
      <w:pPr>
        <w:pStyle w:val="954"/>
        <w:rPr>
          <w:color w:val="292c2f"/>
        </w:rPr>
      </w:pPr>
      <w:r>
        <w:rPr>
          <w:b w:val="0"/>
          <w:bCs w:val="0"/>
          <w:color w:val="292c2f"/>
        </w:rPr>
        <w:t xml:space="preserve">С 1 марта 2025 года Росреестр полностью переходит на электронное взаимодействие с юридическими лицами: документы на государственную регистрацию недвижимости будут предоставляться исключительно в электронном виде.</w:t>
      </w:r>
      <w:r>
        <w:rPr>
          <w:color w:val="292c2f"/>
        </w:rPr>
      </w:r>
      <w:r>
        <w:rPr>
          <w:color w:val="292c2f"/>
        </w:rPr>
      </w:r>
    </w:p>
    <w:p>
      <w:pPr>
        <w:pStyle w:val="954"/>
        <w:rPr>
          <w:color w:val="292c2f"/>
        </w:rPr>
      </w:pPr>
      <w:r>
        <w:rPr>
          <w:b w:val="0"/>
          <w:bCs w:val="0"/>
          <w:color w:val="292c2f"/>
        </w:rPr>
        <w:t xml:space="preserve">Но есть исключения. В бумажном виде документы могут быть предоставлены, если:</w:t>
      </w:r>
      <w:r>
        <w:rPr>
          <w:color w:val="292c2f"/>
        </w:rPr>
      </w:r>
      <w:r>
        <w:rPr>
          <w:color w:val="292c2f"/>
        </w:rPr>
      </w:r>
    </w:p>
    <w:p>
      <w:pPr>
        <w:pStyle w:val="954"/>
        <w:rPr>
          <w:color w:val="292c2f"/>
        </w:rPr>
      </w:pPr>
      <w:r>
        <w:rPr>
          <w:b w:val="0"/>
          <w:bCs w:val="0"/>
          <w:color w:val="292c2f"/>
        </w:rPr>
        <w:t xml:space="preserve">- стороной сделки является физическое лицо (кроме договоров участия в долевом строительстве, которые предоставляются только в форме электронных документов);</w:t>
      </w:r>
      <w:r>
        <w:rPr>
          <w:color w:val="292c2f"/>
        </w:rPr>
      </w:r>
      <w:r>
        <w:rPr>
          <w:color w:val="292c2f"/>
        </w:rPr>
      </w:r>
    </w:p>
    <w:p>
      <w:pPr>
        <w:pStyle w:val="954"/>
        <w:rPr>
          <w:color w:val="292c2f"/>
        </w:rPr>
      </w:pPr>
      <w:r>
        <w:rPr>
          <w:b w:val="0"/>
          <w:bCs w:val="0"/>
          <w:color w:val="292c2f"/>
        </w:rPr>
        <w:t xml:space="preserve">-на официальном сайте Росреестра размещена информация о временной технической невозможности подачи документов в электронном виде.</w:t>
      </w:r>
      <w:r>
        <w:rPr>
          <w:color w:val="292c2f"/>
        </w:rPr>
      </w:r>
      <w:r>
        <w:rPr>
          <w:color w:val="292c2f"/>
        </w:rPr>
      </w:r>
    </w:p>
    <w:p>
      <w:pPr>
        <w:pStyle w:val="954"/>
        <w:rPr>
          <w:color w:val="292c2f"/>
        </w:rPr>
      </w:pPr>
      <w:r>
        <w:rPr>
          <w:b w:val="0"/>
          <w:bCs w:val="0"/>
          <w:color w:val="292c2f"/>
        </w:rPr>
        <w:t xml:space="preserve">Возможность подачи в Росреестр заявления на бумажном носителе сохранится до 1 января 2026 года для следующих юридических лиц: крестьянских (фермерских) хозяйств,</w:t>
      </w:r>
      <w:r>
        <w:rPr>
          <w:color w:val="292c2f"/>
        </w:rPr>
      </w:r>
      <w:r>
        <w:rPr>
          <w:color w:val="292c2f"/>
        </w:rPr>
      </w:r>
    </w:p>
    <w:p>
      <w:pPr>
        <w:pStyle w:val="954"/>
        <w:rPr>
          <w:color w:val="292c2f"/>
        </w:rPr>
      </w:pPr>
      <w:r>
        <w:rPr>
          <w:b w:val="0"/>
          <w:bCs w:val="0"/>
          <w:color w:val="292c2f"/>
        </w:rPr>
        <w:t xml:space="preserve">садоводческих и огороднических товариществ, гаражных, жилищных и жилищно-строительных кооперативов, товариществ собственников жилья.</w:t>
      </w:r>
      <w:r>
        <w:rPr>
          <w:color w:val="292c2f"/>
        </w:rPr>
      </w:r>
      <w:r>
        <w:rPr>
          <w:color w:val="292c2f"/>
        </w:rPr>
      </w:r>
    </w:p>
    <w:p>
      <w:pPr>
        <w:pStyle w:val="954"/>
        <w:rPr>
          <w:color w:val="292c2f"/>
        </w:rPr>
      </w:pPr>
      <w:r>
        <w:rPr>
          <w:b w:val="0"/>
          <w:bCs w:val="0"/>
          <w:color w:val="292c2f"/>
        </w:rPr>
        <w:t xml:space="preserve">Подать документы в электронном виде можно через:</w:t>
      </w:r>
      <w:r>
        <w:rPr>
          <w:color w:val="292c2f"/>
        </w:rPr>
      </w:r>
      <w:r>
        <w:rPr>
          <w:color w:val="292c2f"/>
        </w:rPr>
      </w:r>
    </w:p>
    <w:p>
      <w:pPr>
        <w:pStyle w:val="954"/>
        <w:rPr>
          <w:color w:val="292c2f"/>
        </w:rPr>
      </w:pPr>
      <w:r>
        <w:rPr>
          <w:b w:val="0"/>
          <w:bCs w:val="0"/>
          <w:color w:val="292c2f"/>
        </w:rPr>
        <w:t xml:space="preserve">- личный кабинет правообладателя на официальном сайте Росреестра ;</w:t>
      </w:r>
      <w:r>
        <w:rPr>
          <w:color w:val="292c2f"/>
        </w:rPr>
      </w:r>
      <w:r>
        <w:rPr>
          <w:color w:val="292c2f"/>
        </w:rPr>
      </w:r>
    </w:p>
    <w:p>
      <w:pPr>
        <w:pStyle w:val="954"/>
        <w:rPr>
          <w:color w:val="292c2f"/>
        </w:rPr>
      </w:pPr>
      <w:r>
        <w:rPr>
          <w:b w:val="0"/>
          <w:bCs w:val="0"/>
          <w:color w:val="292c2f"/>
        </w:rPr>
        <w:t xml:space="preserve">- Единый портал госуслуг;</w:t>
      </w:r>
      <w:r>
        <w:rPr>
          <w:color w:val="292c2f"/>
        </w:rPr>
      </w:r>
      <w:r>
        <w:rPr>
          <w:color w:val="292c2f"/>
        </w:rPr>
      </w:r>
    </w:p>
    <w:p>
      <w:pPr>
        <w:pStyle w:val="954"/>
        <w:rPr>
          <w:color w:val="292c2f"/>
        </w:rPr>
      </w:pPr>
      <w:r>
        <w:rPr>
          <w:b w:val="0"/>
          <w:bCs w:val="0"/>
          <w:color w:val="292c2f"/>
        </w:rPr>
        <w:t xml:space="preserve">- электронные площадки взаимодействия с органом регистрации прав.</w:t>
      </w:r>
      <w:r>
        <w:rPr>
          <w:color w:val="292c2f"/>
        </w:rPr>
      </w:r>
      <w:r>
        <w:rPr>
          <w:color w:val="292c2f"/>
        </w:rPr>
      </w:r>
    </w:p>
    <w:p>
      <w:pPr>
        <w:pStyle w:val="954"/>
        <w:rPr>
          <w:color w:val="292c2f"/>
        </w:rPr>
      </w:pPr>
      <w:r>
        <w:rPr>
          <w:b w:val="0"/>
          <w:bCs w:val="0"/>
          <w:color w:val="292c2f"/>
        </w:rPr>
        <w:t xml:space="preserve">В январе 2025 года доля электронных обращений в Новосибирском Росреестре достигла 56%. Это максимальный показатель за всю историю электронной регистрации недвижимости в регионе.</w:t>
      </w:r>
      <w:r>
        <w:rPr>
          <w:color w:val="292c2f"/>
        </w:rPr>
      </w:r>
      <w:r>
        <w:rPr>
          <w:color w:val="292c2f"/>
        </w:rPr>
      </w:r>
    </w:p>
    <w:p>
      <w:pPr>
        <w:pStyle w:val="954"/>
        <w:rPr>
          <w:color w:val="292c2f"/>
        </w:rPr>
      </w:pPr>
      <w:r>
        <w:rPr>
          <w:b w:val="0"/>
          <w:bCs w:val="0"/>
          <w:color w:val="292c2f"/>
        </w:rPr>
        <w:t xml:space="preserve">85% сделок на первичном рынке недвижимости регистрируется в электронном виде.  </w:t>
      </w:r>
      <w:r>
        <w:rPr>
          <w:color w:val="292c2f"/>
        </w:rPr>
      </w:r>
      <w:r>
        <w:rPr>
          <w:color w:val="292c2f"/>
        </w:rPr>
      </w:r>
    </w:p>
    <w:p>
      <w:pPr>
        <w:pStyle w:val="954"/>
        <w:spacing w:after="0" w:afterAutospacing="0"/>
        <w:rPr>
          <w:color w:val="292c2f"/>
        </w:rPr>
      </w:pPr>
      <w:r>
        <w:rPr>
          <w:b w:val="0"/>
          <w:bCs w:val="0"/>
          <w:color w:val="292c2f"/>
        </w:rPr>
        <w:t xml:space="preserve">Как отметила Евгения Шатохина, ю</w:t>
      </w:r>
      <w:r>
        <w:rPr>
          <w:b w:val="0"/>
          <w:bCs w:val="0"/>
          <w:color w:val="292c2f"/>
        </w:rPr>
        <w:t xml:space="preserve">рисконсульт ООО «УЧЁТ»:  «Электронная подача документов значительно упрощает взаимодействие юридических лиц с Росреестром. С переходом на электронную регистрацию, пользователи получают возможность быстро и безопасно оформлять документы, не выходя из дома».</w:t>
      </w:r>
      <w:r>
        <w:rPr>
          <w:color w:val="292c2f"/>
        </w:rPr>
      </w:r>
      <w:r>
        <w:rPr>
          <w:color w:val="292c2f"/>
        </w:rPr>
      </w:r>
    </w:p>
    <w:p>
      <w:pPr>
        <w:rPr>
          <w:b w:val="0"/>
          <w:bCs w:val="0"/>
          <w:color w:val="292c2f"/>
        </w:rPr>
      </w:pPr>
      <w:r>
        <w:rPr>
          <w:b w:val="0"/>
          <w:bCs w:val="0"/>
          <w:color w:val="292c2f"/>
        </w:rPr>
      </w:r>
      <w:r>
        <w:rPr>
          <w:b w:val="0"/>
          <w:bCs w:val="0"/>
          <w:color w:val="292c2f"/>
        </w:rPr>
      </w:r>
      <w:r>
        <w:rPr>
          <w:b w:val="0"/>
          <w:bCs w:val="0"/>
          <w:color w:val="292c2f"/>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20. </w:t>
      </w:r>
      <w:r>
        <w:rPr>
          <w:b/>
          <w:bCs/>
          <w:color w:val="292c2f"/>
        </w:rPr>
        <w:t xml:space="preserve">Материнский капитал - распоряжаемся по-новому.</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1 марта 2025 года средства материнского капитала можно направить на строительство жилого дома по договору строительного подряда с использованием счетов эскроу. </w:t>
      </w:r>
      <w:r>
        <w:rPr>
          <w:b w:val="0"/>
          <w:bCs w:val="0"/>
          <w:color w:val="292c2f"/>
          <w14:ligatures w14:val="none"/>
        </w:rPr>
      </w:r>
      <w:r>
        <w:rPr>
          <w:b w:val="0"/>
          <w:bCs w:val="0"/>
          <w:color w:val="292c2f"/>
          <w14:ligatures w14:val="none"/>
        </w:rPr>
      </w:r>
    </w:p>
    <w:p>
      <w:pPr>
        <w:spacing w:after="0" w:afterAutospacing="0"/>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Для этого определен перечень документов, необходимых для направления средств на улучшение жил</w:t>
      </w:r>
      <w:r>
        <w:rPr>
          <w:b w:val="0"/>
          <w:bCs w:val="0"/>
          <w:color w:val="292c2f"/>
        </w:rPr>
        <w:t xml:space="preserve">ищных условий - договор подряда и сведения о займе, если для строительства жилья используются также и заемные средства.</w:t>
      </w:r>
      <w:r>
        <w:rPr>
          <w:b w:val="0"/>
          <w:bCs w:val="0"/>
          <w:color w:val="292c2f"/>
          <w14:ligatures w14:val="none"/>
        </w:rPr>
      </w:r>
      <w:r>
        <w:rPr>
          <w:b w:val="0"/>
          <w:bCs w:val="0"/>
          <w:color w:val="292c2f"/>
          <w14:ligatures w14:val="none"/>
        </w:rPr>
      </w:r>
    </w:p>
    <w:p>
      <w:pPr>
        <w:spacing w:after="0" w:afterAutospacing="0"/>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При этом земельный участок, на котором планируется возведение дома, должен быть в собственности владельца сертификата или его супруга, </w:t>
      </w:r>
      <w:r>
        <w:rPr>
          <w:b w:val="0"/>
          <w:bCs w:val="0"/>
          <w:color w:val="292c2f"/>
        </w:rPr>
        <w:t xml:space="preserve">либо находиться в аренде.</w:t>
      </w:r>
      <w:r>
        <w:rPr>
          <w:b w:val="0"/>
          <w:bCs w:val="0"/>
          <w:color w:val="292c2f"/>
          <w14:ligatures w14:val="none"/>
        </w:rPr>
      </w:r>
      <w:r>
        <w:rPr>
          <w:b w:val="0"/>
          <w:bCs w:val="0"/>
          <w:color w:val="292c2f"/>
          <w14:ligatures w14:val="none"/>
        </w:rPr>
      </w:r>
    </w:p>
    <w:p>
      <w:pPr>
        <w:pStyle w:val="954"/>
        <w:spacing w:after="0" w:afterAutospacing="0"/>
        <w:rPr>
          <w:b w:val="0"/>
          <w:bCs w:val="0"/>
          <w:color w:val="292c2f"/>
          <w:highlight w:val="none"/>
        </w:rPr>
      </w:pPr>
      <w:r>
        <w:rPr>
          <w:b w:val="0"/>
          <w:bCs w:val="0"/>
          <w:color w:val="292c2f"/>
        </w:rPr>
      </w:r>
      <w:r>
        <w:rPr>
          <w:b w:val="0"/>
          <w:bCs w:val="0"/>
          <w:color w:val="292c2f"/>
        </w:rPr>
        <w:t xml:space="preserve">Нововведения призваны обезопасить строительство жилых домов для семей с детьми. Дополнительной гарантией является возврат материнского капитала владельцу сертификата в случае прекращения договора с подрядчиком, осуществляющим стр</w:t>
      </w:r>
      <w:r>
        <w:rPr>
          <w:b w:val="0"/>
          <w:bCs w:val="0"/>
          <w:color w:val="292c2f"/>
        </w:rPr>
        <w:t xml:space="preserve">оительство.</w:t>
      </w:r>
      <w:r>
        <w:rPr>
          <w:b w:val="0"/>
          <w:bCs w:val="0"/>
          <w:color w:val="292c2f"/>
          <w:highlight w:val="none"/>
        </w:rPr>
      </w:r>
      <w:r>
        <w:rPr>
          <w:b w:val="0"/>
          <w:bCs w:val="0"/>
          <w:color w:val="292c2f"/>
          <w:highlight w:val="none"/>
        </w:rPr>
      </w:r>
    </w:p>
    <w:p>
      <w:pPr>
        <w:spacing w:after="0" w:afterAutospacing="0"/>
        <w:rPr>
          <w:b w:val="0"/>
          <w:bCs w:val="0"/>
          <w:color w:val="292c2f"/>
          <w:highlight w:val="none"/>
        </w:rPr>
      </w:pPr>
      <w:r>
        <w:rPr>
          <w:b w:val="0"/>
          <w:bCs w:val="0"/>
          <w:color w:val="292c2f"/>
          <w:highlight w:val="none"/>
        </w:rPr>
      </w:r>
      <w:r>
        <w:rPr>
          <w:b w:val="0"/>
          <w:bCs w:val="0"/>
          <w:color w:val="292c2f"/>
          <w:highlight w:val="none"/>
        </w:rPr>
      </w:r>
      <w:r>
        <w:rPr>
          <w:b w:val="0"/>
          <w:bCs w:val="0"/>
          <w:color w:val="292c2f"/>
          <w:highlight w: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21. </w:t>
      </w:r>
      <w:r>
        <w:rPr>
          <w:b/>
          <w:bCs/>
          <w:color w:val="292c2f"/>
        </w:rPr>
        <w:t xml:space="preserve">Новосибирский Росреестр ответил на вопросы о лицензировании геодезической и картографической деятельности.</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6 марта 2025 года в Управлении Росреестра по Новосибирской области состоялась «горячая» телефонная линия по вопросам лицензирования геодезической и картографической деятельности. На вопросы новосибирцев ответила заместитель начальника отдела землеустройств</w:t>
      </w:r>
      <w:r>
        <w:rPr>
          <w:b w:val="0"/>
          <w:bCs w:val="0"/>
          <w:color w:val="292c2f"/>
        </w:rPr>
        <w:t xml:space="preserve">а, мониторинга земель, кадастровой оценки недвижимости, геодезии и картографии </w:t>
      </w:r>
      <w:r>
        <w:rPr>
          <w:b w:val="0"/>
          <w:bCs w:val="0"/>
          <w:color w:val="292c2f"/>
        </w:rPr>
        <w:t xml:space="preserve">Екатерина Ануфриева</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Как подать заявление для получения лицензии, внесения изменений в реестр лицензий, прекращения действия лицензии?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Заявления направляются исключительно через портал </w:t>
      </w:r>
      <w:hyperlink r:id="rId28" w:tooltip="https://rosreestr.gov.ru/press/archive/reg/novosibirskiy-rosreestr-otvetil-na-voprosy-o-litsenzirovanii-geodezicheskoy-i-kartograficheskoy-deya-10032025-54/www.gosuslugi.ru/621742/1/form" w:history="1">
        <w:r>
          <w:rPr>
            <w:b w:val="0"/>
            <w:bCs w:val="0"/>
            <w:color w:val="292c2f"/>
          </w:rPr>
          <w:t xml:space="preserve">Госуслуг</w:t>
        </w:r>
      </w:hyperlink>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В какой срок предоставляется лицензия на осуществление геодезической и картографической деятельности?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Заявление о предоставлении лицензии рассматривается 8 рабочих дней, о внесении изменений в реестр лицензий - 5 рабочих дней.</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Периодическое подтверждение соответствия лицензиата лицензионным требованиям.</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Каждые три года с момента получения лицензии лицензиат должен пройти процедуру периодического подтверждения соответствия лицензионным требованиям.</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Лицензиат самостоятельно отслеживает установленный законодательством срок и подает заявление на проведение п</w:t>
      </w:r>
      <w:r>
        <w:rPr>
          <w:b w:val="0"/>
          <w:bCs w:val="0"/>
          <w:color w:val="292c2f"/>
        </w:rPr>
        <w:t xml:space="preserve">роцедуры через портал </w:t>
      </w:r>
      <w:hyperlink r:id="rId29" w:tooltip="https://rosreestr.gov.ru/press/archive/reg/novosibirskiy-rosreestr-otvetil-na-voprosy-o-litsenzirovanii-geodezicheskoy-i-kartograficheskoy-deya-10032025-54/www.gosuslugi.ru/621742/1/form" w:history="1">
        <w:r>
          <w:rPr>
            <w:b w:val="0"/>
            <w:bCs w:val="0"/>
            <w:color w:val="292c2f"/>
          </w:rPr>
          <w:t xml:space="preserve">Госуслуг</w:t>
        </w:r>
      </w:hyperlink>
      <w:r>
        <w:rPr>
          <w:b w:val="0"/>
          <w:bCs w:val="0"/>
          <w:color w:val="292c2f"/>
        </w:rPr>
        <w:t xml:space="preserve">. В случае изменения информации о работниках и (или) технических средствах и оборудовании - это необходимо отразить в заявлении.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течение 10 рабочих дней принимается решение о соответствии лицензиата лицензионным требованиям или лицензиату направляется п</w:t>
      </w:r>
      <w:r>
        <w:rPr>
          <w:b w:val="0"/>
          <w:bCs w:val="0"/>
          <w:color w:val="292c2f"/>
        </w:rPr>
        <w:t xml:space="preserve">еречень выявленных нарушений с указанием срока их устранения. В случае выявления грубых нарушений Управление Росреестра вправе приостановить действие лицензии.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случае непредставления заявления о периодическом подтверждении действие лицензии также приост</w:t>
      </w:r>
      <w:r>
        <w:rPr>
          <w:b w:val="0"/>
          <w:bCs w:val="0"/>
          <w:color w:val="292c2f"/>
        </w:rPr>
        <w:t xml:space="preserve">анавливается.</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Что такое обязательный профилактический визит?</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Обязательный профилактический визит – один из видов профилактических мероприятий.</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Обязательные профилактические визиты проводятся в форме профилактической беседы путем использования видео-конференц-связи и направлены на повышение информированности об обяз</w:t>
      </w:r>
      <w:r>
        <w:rPr>
          <w:b w:val="0"/>
          <w:bCs w:val="0"/>
          <w:color w:val="292c2f"/>
        </w:rPr>
        <w:t xml:space="preserve">ательных требованиях законодательства о геодезии и картографии и их соблюдении.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2025 году будут проводиться профилактические визиты лицензиатов, которым лицензия на осуществление геодезической и картографической деятельности предоставлена в 2024 году.</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План проведения обязательных профилактических визитов лицензиатов, выполняющих геодезические и картографические работы, размещен в региональном блоке официального </w:t>
      </w:r>
      <w:hyperlink r:id="rId30" w:tooltip="https://rosreestr.gov.ru/press/archive/reg/novosibirskiy-rosreestr-otvetil-na-voprosy-o-litsenzirovanii-geodezicheskoy-i-kartograficheskoy-deya-10032025-54/rosreestr.gov.ru/open-service/audits/54_litsenzionnyy-kontrol-litsenziatov/profilaktika-narusheniy-licenzirovanie-54/2025/" w:history="1">
        <w:r>
          <w:rPr>
            <w:b w:val="0"/>
            <w:bCs w:val="0"/>
            <w:color w:val="292c2f"/>
          </w:rPr>
          <w:t xml:space="preserve">сайта Росреестра</w:t>
        </w:r>
      </w:hyperlink>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22. </w:t>
      </w:r>
      <w:r>
        <w:rPr>
          <w:b/>
          <w:bCs/>
          <w:color w:val="292c2f"/>
        </w:rPr>
        <w:t xml:space="preserve">Ключевые новеллы законодательства в сфере недвижимости обсудили на конференции «ВРЕМЯ СБЕРа».</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7 марта специалисты новосибирского Росреестра приняли участие в конференции для профессиональных участников рынка недвижимости «ВРЕМЯ СБЕРа».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Предметом обсуждения стали ключевые изменения в сфере долевого строительства, способы предоставления доку</w:t>
      </w:r>
      <w:r>
        <w:rPr>
          <w:b w:val="0"/>
          <w:bCs w:val="0"/>
          <w:color w:val="292c2f"/>
        </w:rPr>
        <w:t xml:space="preserve">ментов для государственной регистрации прав в электронном виде, новеллы законодательства и правоприменительной практики при заключении сделок с недвижимостью, порядок выдела машино-места.</w:t>
      </w:r>
      <w:r>
        <w:rPr>
          <w:b w:val="0"/>
          <w:bCs w:val="0"/>
          <w:color w:val="292c2f"/>
          <w14:ligatures w14:val="none"/>
        </w:rPr>
      </w:r>
      <w:r>
        <w:rPr>
          <w:b w:val="0"/>
          <w:bCs w:val="0"/>
          <w:color w:val="292c2f"/>
          <w14:ligatures w14:val="none"/>
        </w:rPr>
      </w:r>
    </w:p>
    <w:p>
      <w:pPr>
        <w:spacing w:after="0" w:afterAutospacing="0"/>
        <w:rPr>
          <w:b w:val="0"/>
          <w:bCs w:val="0"/>
          <w:color w:val="292c2f"/>
          <w:highlight w:val="none"/>
        </w:rPr>
      </w:pPr>
      <w:r>
        <w:rPr>
          <w:b w:val="0"/>
          <w:bCs w:val="0"/>
          <w:color w:val="292c2f"/>
        </w:rPr>
        <w:t xml:space="preserve">К Международному женскому дню за профессионализм и активно</w:t>
      </w:r>
      <w:r>
        <w:rPr>
          <w:b w:val="0"/>
          <w:bCs w:val="0"/>
          <w:color w:val="292c2f"/>
        </w:rPr>
        <w:t xml:space="preserve">е участие в конференциях «ВРЕМЯ СБЕРа» заместителю начальника отдела государственной регистрации недвижимости № 1 Софье Гуляевой, начальнику отдела государственной регистрации недвижимости № 6 Инне Илькуновой и начальнику отдела государственной регистрации</w:t>
      </w:r>
      <w:r>
        <w:rPr>
          <w:b w:val="0"/>
          <w:bCs w:val="0"/>
          <w:color w:val="292c2f"/>
        </w:rPr>
        <w:t xml:space="preserve"> недвижимости № 2 Любови Ястребовой  вручены благодарности начальника управления ипотечного кредитования и сервисов Домклик ПАО Сбербанк. </w:t>
      </w:r>
      <w:r>
        <w:rPr>
          <w:b w:val="0"/>
          <w:bCs w:val="0"/>
          <w:color w:val="292c2f"/>
          <w:highlight w:val="none"/>
        </w:rPr>
      </w:r>
      <w:r>
        <w:rPr>
          <w:b w:val="0"/>
          <w:bCs w:val="0"/>
          <w:color w:val="292c2f"/>
          <w:highlight w:val="none"/>
        </w:rPr>
      </w:r>
    </w:p>
    <w:p>
      <w:pPr>
        <w:spacing w:after="0" w:afterAutospacing="0"/>
        <w:rPr>
          <w:b w:val="0"/>
          <w:bCs w:val="0"/>
          <w:color w:val="292c2f"/>
        </w:rPr>
      </w:pPr>
      <w:r>
        <w:rPr>
          <w:b w:val="0"/>
          <w:bCs w:val="0"/>
          <w:color w:val="292c2f"/>
        </w:rPr>
      </w:r>
      <w:r>
        <w:rPr>
          <w:b w:val="0"/>
          <w:bCs w:val="0"/>
          <w:color w:val="292c2f"/>
        </w:rPr>
      </w:r>
      <w:r>
        <w:rPr>
          <w:b w:val="0"/>
          <w:bCs w:val="0"/>
          <w:color w:val="292c2f"/>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23. </w:t>
      </w:r>
      <w:r>
        <w:rPr>
          <w:b/>
          <w:bCs/>
          <w:color w:val="292c2f"/>
        </w:rPr>
        <w:t xml:space="preserve">Размер долей в сельхозугодьях будет пересчитан в дроби.</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Речь пойдет о земельных долях, полученных в девяностых и двухтысячных годах при приватизации земель колхозов и совхозов.</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старых документах размер таких земельных долей встречается в гектарах (например, 5,5 га), в балло-гектарах (например, 7500 б/га) или</w:t>
      </w:r>
      <w:r>
        <w:rPr>
          <w:b w:val="0"/>
          <w:bCs w:val="0"/>
          <w:color w:val="292c2f"/>
        </w:rPr>
        <w:t xml:space="preserve"> в виде простой правильной дроби (например, 1/200).</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Определение долей в виде гектаров или баллов-гектаров было предусмотрено ранее действовавшим законодательством. С 2022 года потребовался перерасчет размера долей на простую правильную дробь. Определить з</w:t>
      </w:r>
      <w:r>
        <w:rPr>
          <w:b w:val="0"/>
          <w:bCs w:val="0"/>
          <w:color w:val="292c2f"/>
        </w:rPr>
        <w:t xml:space="preserve">емельные доли единым способом в виде простой правильной дроби можно было общим собранием участников долевой собственности.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1 марта 2025 года перерасчетом размера долей на простую правильную дробь займутся органы местного самоуправления по месту располож</w:t>
      </w:r>
      <w:r>
        <w:rPr>
          <w:b w:val="0"/>
          <w:bCs w:val="0"/>
          <w:color w:val="292c2f"/>
        </w:rPr>
        <w:t xml:space="preserve">ения участков.</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Результаты таких расчетов будут утверждаться решением органа местного самоуправления и публиковаться в СМИ.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По истечении 30 дней с даты опубликования решения уполномоченный орган местного самоуправления обеспечивает внесение изменений в от</w:t>
      </w:r>
      <w:r>
        <w:rPr>
          <w:b w:val="0"/>
          <w:bCs w:val="0"/>
          <w:color w:val="292c2f"/>
        </w:rPr>
        <w:t xml:space="preserve">ношении размера земельной доли в сведения Единого государственного реестра недвижимости (ЕГРН).</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Обновленные сведения ЕГРН подлежат последующей передаче в налоговые органы.</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На территории Новосибирской области согласована схема взаимодействия новосибирског</w:t>
      </w:r>
      <w:r>
        <w:rPr>
          <w:b w:val="0"/>
          <w:bCs w:val="0"/>
          <w:color w:val="292c2f"/>
        </w:rPr>
        <w:t xml:space="preserve">о Росреестра и Управления Федеральной налоговой службы по Новосибирской области.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Выявлено около 700 земельных участков, сведения о которых будут направлены в органы местного самоуправления для принятия решений в соответствии с Законом об обороте земель се</w:t>
      </w:r>
      <w:r>
        <w:rPr>
          <w:b w:val="0"/>
          <w:bCs w:val="0"/>
          <w:color w:val="292c2f"/>
        </w:rPr>
        <w:t xml:space="preserve">льхозназначения.</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24. </w:t>
      </w:r>
      <w:r>
        <w:rPr>
          <w:b/>
          <w:bCs/>
          <w:color w:val="292c2f"/>
        </w:rPr>
        <w:t xml:space="preserve">Когда в Личном кабинете на портале Госуслуг появляются сведения о регистрации.</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В Личном кабинете на портале </w:t>
      </w:r>
      <w:hyperlink r:id="rId31" w:tooltip="https://www.gosuslugi.ru/" w:history="1">
        <w:r>
          <w:rPr>
            <w:b w:val="0"/>
            <w:bCs w:val="0"/>
            <w:color w:val="292c2f"/>
          </w:rPr>
          <w:t xml:space="preserve">Госуслуг</w:t>
        </w:r>
      </w:hyperlink>
      <w:r>
        <w:rPr>
          <w:b w:val="0"/>
          <w:bCs w:val="0"/>
          <w:color w:val="292c2f"/>
        </w:rPr>
        <w:t xml:space="preserve"> отображаются данные об объектах недвижимости, в отношении которых в Едином государственном реестре недвижимости (ЕГРН) зарегистрировано право собственности.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Сведения передаются на портал Госуслуг при помощи Национальной системы управления данными в течен</w:t>
      </w:r>
      <w:r>
        <w:rPr>
          <w:b w:val="0"/>
          <w:bCs w:val="0"/>
          <w:color w:val="292c2f"/>
        </w:rPr>
        <w:t xml:space="preserve">ие 8 часов после осуществления регистрационных действий, в исключительных случаях срок передачи может быть увеличен до 2 дней.</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Обратите внимание, что для корректного отображения информации персональные данные правообладателя (фамилия, имя, отчество, паспо</w:t>
      </w:r>
      <w:r>
        <w:rPr>
          <w:b w:val="0"/>
          <w:bCs w:val="0"/>
          <w:color w:val="292c2f"/>
        </w:rPr>
        <w:t xml:space="preserve">ртные данные, СНИЛС) в выписке из ЕГРН должны соответствовать данным пользователя в Личном кабинете на портале Госуслуг. </w:t>
      </w:r>
      <w:r>
        <w:rPr>
          <w:b w:val="0"/>
          <w:bCs w:val="0"/>
          <w:color w:val="292c2f"/>
          <w14:ligatures w14:val="none"/>
        </w:rPr>
      </w:r>
      <w:r>
        <w:rPr>
          <w:b w:val="0"/>
          <w:bCs w:val="0"/>
          <w:color w:val="292c2f"/>
          <w14:ligatures w14:val="none"/>
        </w:rPr>
      </w:r>
    </w:p>
    <w:p>
      <w:pPr>
        <w:spacing w:after="0" w:afterAutospacing="0"/>
        <w:rPr>
          <w:b w:val="0"/>
          <w:bCs w:val="0"/>
          <w:color w:val="292c2f"/>
        </w:rPr>
      </w:pPr>
      <w:r>
        <w:rPr>
          <w:b w:val="0"/>
          <w:bCs w:val="0"/>
          <w:color w:val="292c2f"/>
        </w:rPr>
      </w:r>
      <w:r>
        <w:rPr>
          <w:b w:val="0"/>
          <w:bCs w:val="0"/>
          <w:color w:val="292c2f"/>
        </w:rPr>
      </w:r>
      <w:r>
        <w:rPr>
          <w:b w:val="0"/>
          <w:bCs w:val="0"/>
          <w:color w:val="292c2f"/>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25. </w:t>
      </w:r>
      <w:r>
        <w:rPr>
          <w:b/>
          <w:bCs/>
          <w:color w:val="292c2f"/>
        </w:rPr>
        <w:t xml:space="preserve">Новосибирский Росреестр приступил к обследованию нивелирных пунктов.</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Сотрудникам новосибирского Росреестра в 2025 году предстоит обследовать 160 геодезических пунктов, расположенных в 16 районах Новосибирской области, и 160 нивелирных пунктов в южном направлении Западно-Сибирской железной дороги – до границы с Алтайским кра</w:t>
      </w:r>
      <w:r>
        <w:rPr>
          <w:b w:val="0"/>
          <w:bCs w:val="0"/>
          <w:color w:val="292c2f"/>
        </w:rPr>
        <w:t xml:space="preserve">ем.</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Основная доля работ приходится на полевой сезон - с мая по октябрь, когда появляется возможность добраться до пунктов, осмотреть и зафиксировать их состояние.</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Полевой сезон еще не начался, но уже проверено 20 нивелирных пунктов.</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Управлением Росреест</w:t>
      </w:r>
      <w:r>
        <w:rPr>
          <w:b w:val="0"/>
          <w:bCs w:val="0"/>
          <w:color w:val="292c2f"/>
        </w:rPr>
        <w:t xml:space="preserve">ра налажено взаимодействие с Новосибирским филиалом АО «РЖД». Каждый выход на нивелирные пункты проводится с участием «железнодорожников», которые обеспечивают безопасный подход к пунктам.</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По результатам обследования обнаружено только три сохранившихся пу</w:t>
      </w:r>
      <w:r>
        <w:rPr>
          <w:b w:val="0"/>
          <w:bCs w:val="0"/>
          <w:color w:val="292c2f"/>
        </w:rPr>
        <w:t xml:space="preserve">нкта, один не обнаружен, 16 пунктов утрачено. Основные причины утраты: реконструкция, разрушение, снос зданий и сооружений, на которых размещались нивелирные пункты.</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Нивелирные пункты – это знаки с известной высотой, закрепленные в грунте или стенах здани</w:t>
      </w:r>
      <w:r>
        <w:rPr>
          <w:b w:val="0"/>
          <w:bCs w:val="0"/>
          <w:color w:val="292c2f"/>
        </w:rPr>
        <w:t xml:space="preserve">й. Используются они для отсчета высоты, определения разности высот между точками на местности.</w:t>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r>
      <w:r>
        <w:rPr>
          <w:b/>
          <w:bCs/>
          <w:color w:val="292c2f"/>
          <w14:ligatures w14:val="none"/>
        </w:rPr>
      </w:r>
      <w:r>
        <w:rPr>
          <w:b/>
          <w:bCs/>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26. </w:t>
      </w:r>
      <w:r>
        <w:rPr>
          <w:b/>
          <w:bCs/>
          <w:color w:val="292c2f"/>
        </w:rPr>
        <w:t xml:space="preserve">Зарегистрируй недвижимость за один час: совместный проект новосибирского Росреестра и МФЦ.</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Новосибирский Росреестр совместно с ГАУ НСО «МФЦ» проводит акцию «Регистрация за час в МФЦ».</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При наличии документов, подтверждающих возникновение права собственности на недвижимое имущество до 1 января 1999 года, регистрация прав будет проведена в течение</w:t>
      </w:r>
      <w:r>
        <w:rPr>
          <w:b w:val="0"/>
          <w:bCs w:val="0"/>
          <w:color w:val="292c2f"/>
        </w:rPr>
        <w:t xml:space="preserve"> 1 часа.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Регистрация  прав осуществляется бесплатно.</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Время проведения акции: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24 марта по 28 марта 2025 года,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31 марта по 04 апреля 2025 года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8.00 до 12.00 часов.</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Прием документов в рамках акции «Регистрации за час в МФЦ» будет осуществляться в сл</w:t>
      </w:r>
      <w:r>
        <w:rPr>
          <w:b w:val="0"/>
          <w:bCs w:val="0"/>
          <w:color w:val="292c2f"/>
        </w:rPr>
        <w:t xml:space="preserve">едующих офисах МФЦ:</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филиал ГАУ НСО МФЦ «площадь Труда» по адресу: г Новосибирск, площадь Труда, д. 1;</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филиал ГАУ НСО МФЦ «Зыряновский» по адресу: г Новосибирск, ул. Зыряновская, д. 63;</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филиал ГАУ НСО МФЦ «Первомайский» по адресу: г Новосибирск, ул. Мара</w:t>
      </w:r>
      <w:r>
        <w:rPr>
          <w:b w:val="0"/>
          <w:bCs w:val="0"/>
          <w:color w:val="292c2f"/>
        </w:rPr>
        <w:t xml:space="preserve">та, д. 2;</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филиал ГАУ НСО МФЦ Искитимского района по адресу: Искитимский район, р.п. Линёва, ул. Листвянская, 6В;</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филиал ГАУ НСО МФЦ Черепановского района по адресу: Черепановский район, г. Черепаново, ул. Интернациональная, 5Б.</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14:ligatures w14:val="none"/>
        </w:rPr>
      </w:r>
      <w:r>
        <w:rPr>
          <w:b w:val="0"/>
          <w:bCs w:val="0"/>
          <w:color w:val="292c2f"/>
          <w14:ligatures w14:val="none"/>
        </w:rPr>
      </w:r>
    </w:p>
    <w:p>
      <w:pPr>
        <w:rPr>
          <w:b/>
          <w:bCs/>
          <w:color w:val="292c2f"/>
          <w14:ligatures w14:val="none"/>
        </w:rPr>
        <w:pBdr>
          <w:top w:val="none" w:color="000000" w:sz="4" w:space="0"/>
          <w:left w:val="none" w:color="000000" w:sz="4" w:space="0"/>
          <w:bottom w:val="none" w:color="000000" w:sz="4" w:space="0"/>
          <w:right w:val="none" w:color="000000" w:sz="4" w:space="0"/>
        </w:pBdr>
      </w:pPr>
      <w:r>
        <w:rPr>
          <w:b/>
          <w:bCs/>
          <w:color w:val="292c2f"/>
        </w:rPr>
        <w:t xml:space="preserve">27. </w:t>
      </w:r>
      <w:r>
        <w:rPr>
          <w:b/>
          <w:bCs/>
          <w:color w:val="292c2f"/>
        </w:rPr>
        <w:t xml:space="preserve">В новосибирском Росреестре состоялось первое в 2025 году заседание Общественного совета.</w:t>
      </w:r>
      <w:r>
        <w:rPr>
          <w:b/>
          <w:bCs/>
          <w:color w:val="292c2f"/>
          <w14:ligatures w14:val="none"/>
        </w:rPr>
      </w:r>
      <w:r>
        <w:rPr>
          <w:b/>
          <w:bCs/>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20 марта в Управлении Росреестра по Новосибирской области состоялось первое плановое заседание Общественного совета в 2025 году.</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Участники рассмотрели несколько вопросов: о результатах деятельности Управления за 2024 год в части оказания государственных у</w:t>
      </w:r>
      <w:r>
        <w:rPr>
          <w:b w:val="0"/>
          <w:bCs w:val="0"/>
          <w:color w:val="292c2f"/>
        </w:rPr>
        <w:t xml:space="preserve">слуг Росреестра на территории Новосибирской области, о приоритетных целях и задачах ведомства в 2025 году, о плановых мероприятиях Управления и Общественного совета при Управлении на 2025 год.</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С докладом выступила руководитель Управления Росреестра по Нов</w:t>
      </w:r>
      <w:r>
        <w:rPr>
          <w:b w:val="0"/>
          <w:bCs w:val="0"/>
          <w:color w:val="292c2f"/>
        </w:rPr>
        <w:t xml:space="preserve">осибирской области </w:t>
      </w:r>
      <w:r>
        <w:rPr>
          <w:b w:val="0"/>
          <w:bCs w:val="0"/>
          <w:color w:val="292c2f"/>
        </w:rPr>
        <w:t xml:space="preserve">Светлана Рягузова</w:t>
      </w:r>
      <w:r>
        <w:rPr>
          <w:b w:val="0"/>
          <w:bCs w:val="0"/>
          <w:color w:val="292c2f"/>
        </w:rPr>
        <w:t xml:space="preserve">. Участникам заседания были продемонстрированы основные показатели учетно-регистрационной и контрольно-надзорной деятельности новосибирского Росреестра. Особое внимание в ходе выступления уделено вопросам реализации Управлением Государственной программы Ро</w:t>
      </w:r>
      <w:r>
        <w:rPr>
          <w:b w:val="0"/>
          <w:bCs w:val="0"/>
          <w:color w:val="292c2f"/>
        </w:rPr>
        <w:t xml:space="preserve">ссийской Федерации «Национальная система пространственных данных» и социально-значимых проектов на территории области, использования новосибирцами электронных сервисов для получения услуг ведомства.</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«Среди приоритетов ведомства: наполнение реестра недвижимости полными и точными сведениями об объектах и их правообладателях, прежде всего в целях обеспечения оказания услуг населению в сфере недвижимости, и развития региона. Не прекращается работа по сове</w:t>
      </w:r>
      <w:r>
        <w:rPr>
          <w:b w:val="0"/>
          <w:bCs w:val="0"/>
          <w:color w:val="292c2f"/>
        </w:rPr>
        <w:t xml:space="preserve">ршенствованию взаимодействия с получателями услуг Росреестра, в 2024 году большое внимание также было уделено внедрению принципов внутренней клиентоцентричности и подготовке молодых специалистов»</w:t>
      </w:r>
      <w:r>
        <w:rPr>
          <w:b w:val="0"/>
          <w:bCs w:val="0"/>
          <w:color w:val="292c2f"/>
        </w:rPr>
        <w:t xml:space="preserve">, - сообщила </w:t>
      </w:r>
      <w:r>
        <w:rPr>
          <w:b w:val="0"/>
          <w:bCs w:val="0"/>
          <w:color w:val="292c2f"/>
        </w:rPr>
        <w:t xml:space="preserve">Светлана Евгеньевна</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Общественный совет дал положительную оценку деятельности Управления по решению поставленных целей и задач, отметил эффективность сотрудничества с гражданами, представителями бизнеса, органами власти и органами местного самоуправления, высокий уровень от</w:t>
      </w:r>
      <w:r>
        <w:rPr>
          <w:b w:val="0"/>
          <w:bCs w:val="0"/>
          <w:color w:val="292c2f"/>
        </w:rPr>
        <w:t xml:space="preserve">крытости ведомства. Члены Общественного совета при Управлении также одобрили мероприятия, запланированные новосибирским Росреестром на 2025 год.</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В продолжение заседания председатель Общественного совета при Управлении </w:t>
      </w:r>
      <w:r>
        <w:rPr>
          <w:b w:val="0"/>
          <w:bCs w:val="0"/>
          <w:color w:val="292c2f"/>
        </w:rPr>
        <w:t xml:space="preserve">Надежда Вавилина</w:t>
      </w:r>
      <w:r>
        <w:rPr>
          <w:b w:val="0"/>
          <w:bCs w:val="0"/>
          <w:color w:val="292c2f"/>
        </w:rPr>
        <w:t xml:space="preserve"> рассказала о мероприятиях Общественного совета, запланированных на 2025 год, в числе которых проведение очередного социологического исследования, направленного на оценку качества и уровня оказания услуг Росреестра на территории Новосибирской области.</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r>
      <w:r>
        <w:rPr>
          <w:b w:val="0"/>
          <w:bCs w:val="0"/>
          <w:color w:val="292c2f"/>
        </w:rPr>
        <w:t xml:space="preserve">«В 2025 году следует сосредоточиться на вопросах информирования населения о действующей гарантированной системе безопасности для граждан в сфере земельно-имущественных отношений. Совместные мероприятия с участием сотрудников Управления Росреестра и членов </w:t>
      </w:r>
      <w:r>
        <w:rPr>
          <w:b w:val="0"/>
          <w:bCs w:val="0"/>
          <w:color w:val="292c2f"/>
        </w:rPr>
        <w:t xml:space="preserve">Общественного совета, представляющие различные профсообщества, помогут сформировать четкое представление у граждан о защите их прав со стороны государства»</w:t>
      </w:r>
      <w:r>
        <w:rPr>
          <w:b w:val="0"/>
          <w:bCs w:val="0"/>
          <w:color w:val="292c2f"/>
        </w:rPr>
        <w:t xml:space="preserve">, -  отметила</w:t>
      </w:r>
      <w:r>
        <w:rPr>
          <w:b w:val="0"/>
          <w:bCs w:val="0"/>
          <w:color w:val="292c2f"/>
        </w:rPr>
        <w:t xml:space="preserve"> Надежда Дмитриевна</w:t>
      </w:r>
      <w:r>
        <w:rPr>
          <w:b w:val="0"/>
          <w:bCs w:val="0"/>
          <w:color w:val="292c2f"/>
        </w:rPr>
        <w:t xml:space="preserve">.</w:t>
      </w:r>
      <w:r>
        <w:rPr>
          <w:b w:val="0"/>
          <w:bCs w:val="0"/>
          <w:color w:val="292c2f"/>
          <w14:ligatures w14:val="none"/>
        </w:rPr>
      </w:r>
      <w:r>
        <w:rPr>
          <w:b w:val="0"/>
          <w:bCs w:val="0"/>
          <w:color w:val="292c2f"/>
          <w14:ligatures w14:val="none"/>
        </w:rPr>
      </w:r>
    </w:p>
    <w:p>
      <w:pPr>
        <w:rPr>
          <w:b w:val="0"/>
          <w:bCs w:val="0"/>
          <w:color w:val="292c2f"/>
          <w14:ligatures w14:val="none"/>
        </w:rPr>
        <w:pBdr>
          <w:top w:val="none" w:color="000000" w:sz="4" w:space="0"/>
          <w:left w:val="none" w:color="000000" w:sz="4" w:space="0"/>
          <w:bottom w:val="none" w:color="000000" w:sz="4" w:space="0"/>
          <w:right w:val="none" w:color="000000" w:sz="4" w:space="0"/>
        </w:pBdr>
      </w:pPr>
      <w:r>
        <w:rPr>
          <w:b w:val="0"/>
          <w:bCs w:val="0"/>
          <w:color w:val="292c2f"/>
        </w:rPr>
        <w:t xml:space="preserve">Члены Совета высказали готовность в реализации совместных мероприятий.</w:t>
      </w:r>
      <w:r>
        <w:rPr>
          <w:b w:val="0"/>
          <w:bCs w:val="0"/>
          <w:color w:val="292c2f"/>
          <w14:ligatures w14:val="none"/>
        </w:rPr>
      </w:r>
      <w:r>
        <w:rPr>
          <w:b w:val="0"/>
          <w:bCs w:val="0"/>
          <w:color w:val="292c2f"/>
          <w14:ligatures w14:val="none"/>
        </w:rPr>
      </w:r>
    </w:p>
    <w:p>
      <w:pPr>
        <w:spacing w:after="0" w:afterAutospacing="0"/>
        <w:rPr>
          <w:b w:val="0"/>
          <w:bCs w:val="0"/>
          <w:color w:val="292c2f"/>
        </w:rPr>
      </w:pPr>
      <w:r>
        <w:rPr>
          <w:b w:val="0"/>
          <w:bCs w:val="0"/>
          <w:color w:val="292c2f"/>
          <w:highlight w:val="none"/>
        </w:rPr>
      </w:r>
      <w:r>
        <w:rPr>
          <w:b w:val="0"/>
          <w:bCs w:val="0"/>
          <w:color w:val="292c2f"/>
        </w:rPr>
      </w:r>
      <w:r>
        <w:rPr>
          <w:b w:val="0"/>
          <w:bCs w:val="0"/>
          <w:color w:val="292c2f"/>
        </w:rPr>
      </w:r>
    </w:p>
    <w:sectPr>
      <w:footnotePr/>
      <w:endnotePr/>
      <w:type w:val="continuous"/>
      <w:pgSz w:w="11906" w:h="16838" w:orient="portrait"/>
      <w:pgMar w:top="1134" w:right="850" w:bottom="1134" w:left="1701" w:header="708" w:footer="708" w:gutter="0"/>
      <w:cols w:num="1" w:sep="0" w:space="708"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after="0" w:line="240" w:lineRule="auto"/>
      </w:pPr>
      <w:r>
        <w:separator/>
      </w:r>
      <w:r/>
    </w:p>
  </w:endnote>
  <w:endnote w:type="continuationSeparator" w:id="0">
    <w:p>
      <w:pPr>
        <w:spacing w:after="0" w:line="240" w:lineRule="auto"/>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10000000000000000"/>
  </w:font>
  <w:font w:name="Courier New">
    <w:panose1 w:val="02070409020205020404"/>
  </w:font>
  <w:font w:name="Symbol">
    <w:panose1 w:val="05010000000000000000"/>
  </w:font>
  <w:font w:name="Calibri Light">
    <w:panose1 w:val="020F0502020204030204"/>
  </w:font>
  <w:font w:name="Tahoma">
    <w:panose1 w:val="020B0604030504040204"/>
  </w:font>
  <w:font w:name="Calibri">
    <w:panose1 w:val="020F0502020204030204"/>
  </w:font>
  <w:font w:name="Times New Roman">
    <w:panose1 w:val="02020603050405020304"/>
  </w:font>
  <w:font w:name="Arial">
    <w:panose1 w:val="020B06040202020202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991"/>
    </w:pPr>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after="0" w:line="240" w:lineRule="auto"/>
      </w:pPr>
      <w:r>
        <w:separator/>
      </w:r>
      <w:r/>
    </w:p>
  </w:footnote>
  <w:footnote w:type="continuationSeparator" w:id="0">
    <w:p>
      <w:pPr>
        <w:spacing w:after="0" w:line="240" w:lineRule="auto"/>
      </w:pPr>
      <w:r>
        <w:continuationSeparator/>
      </w: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965"/>
      <w:jc w:val="center"/>
      <w:rPr>
        <w:color w:val="auto"/>
        <w:highlight w:val="none"/>
      </w:rPr>
    </w:pPr>
    <w:fldSimple w:instr="PAGE \* MERGEFORMAT">
      <w:r>
        <w:rPr>
          <w:color w:val="auto"/>
        </w:rPr>
        <w:t xml:space="preserve">1</w:t>
      </w:r>
    </w:fldSimple>
    <w:r>
      <w:rPr>
        <w:color w:val="auto"/>
      </w:rPr>
    </w:r>
    <w:r>
      <w:rPr>
        <w:color w:val="auto"/>
        <w:highlight w:val="none"/>
      </w:rPr>
    </w:r>
    <w:r>
      <w:rPr>
        <w:color w:val="auto"/>
        <w:highlight w:val="none"/>
      </w:rPr>
    </w:r>
  </w:p>
  <w:p>
    <w:pPr>
      <w:pStyle w:val="965"/>
      <w:jc w:val="center"/>
    </w:pPr>
    <w:r>
      <w:rPr>
        <w:color w:val="auto"/>
        <w:highlight w:val="none"/>
      </w:rPr>
    </w:r>
    <w:r>
      <w:rPr>
        <w:color w:val="auto"/>
        <w:highlight w:val="none"/>
      </w:rPr>
    </w:r>
    <w:r/>
  </w:p>
  <w:p>
    <w:pPr>
      <w:pStyle w:val="965"/>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965"/>
      <w:jc w:val="center"/>
      <w:rPr>
        <w:color w:val="ffffff" w:themeColor="background1"/>
      </w:rPr>
    </w:pPr>
    <w:fldSimple w:instr="PAGE \* MERGEFORMAT">
      <w:r>
        <w:rPr>
          <w:color w:val="ffffff" w:themeColor="background1"/>
        </w:rPr>
        <w:t xml:space="preserve">1</w:t>
      </w:r>
    </w:fldSimple>
    <w:r>
      <w:rPr>
        <w:color w:val="ffffff" w:themeColor="background1"/>
      </w:rPr>
    </w:r>
    <w:r>
      <w:rPr>
        <w:color w:val="ffffff" w:themeColor="background1"/>
      </w:rPr>
    </w:r>
    <w:r>
      <w:rPr>
        <w:color w:val="ffffff" w:themeColor="background1"/>
      </w:rPr>
    </w:r>
  </w:p>
  <w:p>
    <w:pPr>
      <w:pStyle w:val="965"/>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2"/>
      <w:numFmt w:val="decimal"/>
      <w:isLgl w:val="false"/>
      <w:suff w:val="tab"/>
      <w:lvlText w:val="%1."/>
      <w:lvlJc w:val="left"/>
      <w:pPr>
        <w:ind w:left="1083" w:hanging="375"/>
      </w:pPr>
      <w:rPr>
        <w:rFonts w:hint="default"/>
      </w:rPr>
    </w:lvl>
    <w:lvl w:ilvl="1">
      <w:start w:val="1"/>
      <w:numFmt w:val="lowerLetter"/>
      <w:isLgl w:val="false"/>
      <w:suff w:val="tab"/>
      <w:lvlText w:val="%2."/>
      <w:lvlJc w:val="left"/>
      <w:pPr>
        <w:ind w:left="1788" w:hanging="360"/>
      </w:pPr>
    </w:lvl>
    <w:lvl w:ilvl="2">
      <w:start w:val="1"/>
      <w:numFmt w:val="lowerRoman"/>
      <w:isLgl w:val="false"/>
      <w:suff w:val="tab"/>
      <w:lvlText w:val="%3."/>
      <w:lvlJc w:val="right"/>
      <w:pPr>
        <w:ind w:left="2508" w:hanging="180"/>
      </w:pPr>
    </w:lvl>
    <w:lvl w:ilvl="3">
      <w:start w:val="1"/>
      <w:numFmt w:val="decimal"/>
      <w:isLgl w:val="false"/>
      <w:suff w:val="tab"/>
      <w:lvlText w:val="%4."/>
      <w:lvlJc w:val="left"/>
      <w:pPr>
        <w:ind w:left="3228" w:hanging="360"/>
      </w:pPr>
    </w:lvl>
    <w:lvl w:ilvl="4">
      <w:start w:val="1"/>
      <w:numFmt w:val="lowerLetter"/>
      <w:isLgl w:val="false"/>
      <w:suff w:val="tab"/>
      <w:lvlText w:val="%5."/>
      <w:lvlJc w:val="left"/>
      <w:pPr>
        <w:ind w:left="3948" w:hanging="360"/>
      </w:pPr>
    </w:lvl>
    <w:lvl w:ilvl="5">
      <w:start w:val="1"/>
      <w:numFmt w:val="lowerRoman"/>
      <w:isLgl w:val="false"/>
      <w:suff w:val="tab"/>
      <w:lvlText w:val="%6."/>
      <w:lvlJc w:val="right"/>
      <w:pPr>
        <w:ind w:left="4668" w:hanging="180"/>
      </w:pPr>
    </w:lvl>
    <w:lvl w:ilvl="6">
      <w:start w:val="1"/>
      <w:numFmt w:val="decimal"/>
      <w:isLgl w:val="false"/>
      <w:suff w:val="tab"/>
      <w:lvlText w:val="%7."/>
      <w:lvlJc w:val="left"/>
      <w:pPr>
        <w:ind w:left="5388" w:hanging="360"/>
      </w:pPr>
    </w:lvl>
    <w:lvl w:ilvl="7">
      <w:start w:val="1"/>
      <w:numFmt w:val="lowerLetter"/>
      <w:isLgl w:val="false"/>
      <w:suff w:val="tab"/>
      <w:lvlText w:val="%8."/>
      <w:lvlJc w:val="left"/>
      <w:pPr>
        <w:ind w:left="6108" w:hanging="360"/>
      </w:pPr>
    </w:lvl>
    <w:lvl w:ilvl="8">
      <w:start w:val="1"/>
      <w:numFmt w:val="lowerRoman"/>
      <w:isLgl w:val="false"/>
      <w:suff w:val="tab"/>
      <w:lvlText w:val="%9."/>
      <w:lvlJc w:val="right"/>
      <w:pPr>
        <w:ind w:left="6828" w:hanging="180"/>
      </w:pPr>
    </w:lvl>
  </w:abstractNum>
  <w:abstractNum w:abstractNumId="1">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2">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
      <w:lvlJc w:val="left"/>
      <w:pPr>
        <w:ind w:left="1440" w:hanging="360"/>
        <w:tabs>
          <w:tab w:val="num" w:pos="1440" w:leader="none"/>
        </w:tabs>
      </w:pPr>
      <w:rPr>
        <w:rFonts w:hint="default" w:ascii="Symbol" w:hAnsi="Symbol"/>
        <w:sz w:val="20"/>
      </w:rPr>
    </w:lvl>
    <w:lvl w:ilvl="2">
      <w:start w:val="1"/>
      <w:numFmt w:val="bullet"/>
      <w:isLgl w:val="false"/>
      <w:suff w:val="tab"/>
      <w:lvlText w:val=""/>
      <w:lvlJc w:val="left"/>
      <w:pPr>
        <w:ind w:left="2160" w:hanging="360"/>
        <w:tabs>
          <w:tab w:val="num" w:pos="2160" w:leader="none"/>
        </w:tabs>
      </w:pPr>
      <w:rPr>
        <w:rFonts w:hint="default" w:ascii="Symbol" w:hAnsi="Symbol"/>
        <w:sz w:val="20"/>
      </w:rPr>
    </w:lvl>
    <w:lvl w:ilvl="3">
      <w:start w:val="1"/>
      <w:numFmt w:val="bullet"/>
      <w:isLgl w:val="false"/>
      <w:suff w:val="tab"/>
      <w:lvlText w:val=""/>
      <w:lvlJc w:val="left"/>
      <w:pPr>
        <w:ind w:left="2880" w:hanging="360"/>
        <w:tabs>
          <w:tab w:val="num" w:pos="2880" w:leader="none"/>
        </w:tabs>
      </w:pPr>
      <w:rPr>
        <w:rFonts w:hint="default" w:ascii="Symbol" w:hAnsi="Symbol"/>
        <w:sz w:val="20"/>
      </w:rPr>
    </w:lvl>
    <w:lvl w:ilvl="4">
      <w:start w:val="1"/>
      <w:numFmt w:val="bullet"/>
      <w:isLgl w:val="false"/>
      <w:suff w:val="tab"/>
      <w:lvlText w:val=""/>
      <w:lvlJc w:val="left"/>
      <w:pPr>
        <w:ind w:left="3600" w:hanging="360"/>
        <w:tabs>
          <w:tab w:val="num" w:pos="3600" w:leader="none"/>
        </w:tabs>
      </w:pPr>
      <w:rPr>
        <w:rFonts w:hint="default" w:ascii="Symbol" w:hAnsi="Symbol"/>
        <w:sz w:val="20"/>
      </w:rPr>
    </w:lvl>
    <w:lvl w:ilvl="5">
      <w:start w:val="1"/>
      <w:numFmt w:val="bullet"/>
      <w:isLgl w:val="false"/>
      <w:suff w:val="tab"/>
      <w:lvlText w:val=""/>
      <w:lvlJc w:val="left"/>
      <w:pPr>
        <w:ind w:left="4320" w:hanging="360"/>
        <w:tabs>
          <w:tab w:val="num" w:pos="4320" w:leader="none"/>
        </w:tabs>
      </w:pPr>
      <w:rPr>
        <w:rFonts w:hint="default" w:ascii="Symbol" w:hAnsi="Symbol"/>
        <w:sz w:val="20"/>
      </w:rPr>
    </w:lvl>
    <w:lvl w:ilvl="6">
      <w:start w:val="1"/>
      <w:numFmt w:val="bullet"/>
      <w:isLgl w:val="false"/>
      <w:suff w:val="tab"/>
      <w:lvlText w:val=""/>
      <w:lvlJc w:val="left"/>
      <w:pPr>
        <w:ind w:left="5040" w:hanging="360"/>
        <w:tabs>
          <w:tab w:val="num" w:pos="5040" w:leader="none"/>
        </w:tabs>
      </w:pPr>
      <w:rPr>
        <w:rFonts w:hint="default" w:ascii="Symbol" w:hAnsi="Symbol"/>
        <w:sz w:val="20"/>
      </w:rPr>
    </w:lvl>
    <w:lvl w:ilvl="7">
      <w:start w:val="1"/>
      <w:numFmt w:val="bullet"/>
      <w:isLgl w:val="false"/>
      <w:suff w:val="tab"/>
      <w:lvlText w:val=""/>
      <w:lvlJc w:val="left"/>
      <w:pPr>
        <w:ind w:left="5760" w:hanging="360"/>
        <w:tabs>
          <w:tab w:val="num" w:pos="5760" w:leader="none"/>
        </w:tabs>
      </w:pPr>
      <w:rPr>
        <w:rFonts w:hint="default" w:ascii="Symbol" w:hAnsi="Symbol"/>
        <w:sz w:val="20"/>
      </w:rPr>
    </w:lvl>
    <w:lvl w:ilvl="8">
      <w:start w:val="1"/>
      <w:numFmt w:val="bullet"/>
      <w:isLgl w:val="false"/>
      <w:suff w:val="tab"/>
      <w:lvlText w:val=""/>
      <w:lvlJc w:val="left"/>
      <w:pPr>
        <w:ind w:left="6480" w:hanging="360"/>
        <w:tabs>
          <w:tab w:val="num" w:pos="6480" w:leader="none"/>
        </w:tabs>
      </w:pPr>
      <w:rPr>
        <w:rFonts w:hint="default" w:ascii="Symbol" w:hAnsi="Symbol"/>
        <w:sz w:val="20"/>
      </w:rPr>
    </w:lvl>
  </w:abstractNum>
  <w:abstractNum w:abstractNumId="3">
    <w:multiLevelType w:val="hybridMultilevel"/>
    <w:lvl w:ilvl="0">
      <w:start w:val="1"/>
      <w:numFmt w:val="bullet"/>
      <w:isLgl w:val="false"/>
      <w:suff w:val="tab"/>
      <w:lvlText w:val=""/>
      <w:lvlJc w:val="left"/>
      <w:pPr>
        <w:ind w:left="1429" w:hanging="360"/>
      </w:pPr>
      <w:rPr>
        <w:rFonts w:hint="default" w:ascii="Symbol" w:hAnsi="Symbol"/>
      </w:rPr>
    </w:lvl>
    <w:lvl w:ilvl="1">
      <w:start w:val="1"/>
      <w:numFmt w:val="lowerLetter"/>
      <w:isLgl w:val="false"/>
      <w:suff w:val="tab"/>
      <w:lvlText w:val="%2."/>
      <w:lvlJc w:val="left"/>
      <w:pPr>
        <w:ind w:left="2149" w:hanging="360"/>
      </w:pPr>
    </w:lvl>
    <w:lvl w:ilvl="2">
      <w:start w:val="1"/>
      <w:numFmt w:val="lowerRoman"/>
      <w:isLgl w:val="false"/>
      <w:suff w:val="tab"/>
      <w:lvlText w:val="%3."/>
      <w:lvlJc w:val="right"/>
      <w:pPr>
        <w:ind w:left="2869" w:hanging="180"/>
      </w:pPr>
    </w:lvl>
    <w:lvl w:ilvl="3">
      <w:start w:val="1"/>
      <w:numFmt w:val="decimal"/>
      <w:isLgl w:val="false"/>
      <w:suff w:val="tab"/>
      <w:lvlText w:val="%4."/>
      <w:lvlJc w:val="left"/>
      <w:pPr>
        <w:ind w:left="3589" w:hanging="360"/>
      </w:pPr>
    </w:lvl>
    <w:lvl w:ilvl="4">
      <w:start w:val="1"/>
      <w:numFmt w:val="lowerLetter"/>
      <w:isLgl w:val="false"/>
      <w:suff w:val="tab"/>
      <w:lvlText w:val="%5."/>
      <w:lvlJc w:val="left"/>
      <w:pPr>
        <w:ind w:left="4309" w:hanging="360"/>
      </w:pPr>
    </w:lvl>
    <w:lvl w:ilvl="5">
      <w:start w:val="1"/>
      <w:numFmt w:val="lowerRoman"/>
      <w:isLgl w:val="false"/>
      <w:suff w:val="tab"/>
      <w:lvlText w:val="%6."/>
      <w:lvlJc w:val="right"/>
      <w:pPr>
        <w:ind w:left="5029" w:hanging="180"/>
      </w:pPr>
    </w:lvl>
    <w:lvl w:ilvl="6">
      <w:start w:val="1"/>
      <w:numFmt w:val="decimal"/>
      <w:isLgl w:val="false"/>
      <w:suff w:val="tab"/>
      <w:lvlText w:val="%7."/>
      <w:lvlJc w:val="left"/>
      <w:pPr>
        <w:ind w:left="5749" w:hanging="360"/>
      </w:pPr>
    </w:lvl>
    <w:lvl w:ilvl="7">
      <w:start w:val="1"/>
      <w:numFmt w:val="lowerLetter"/>
      <w:isLgl w:val="false"/>
      <w:suff w:val="tab"/>
      <w:lvlText w:val="%8."/>
      <w:lvlJc w:val="left"/>
      <w:pPr>
        <w:ind w:left="6469" w:hanging="360"/>
      </w:pPr>
    </w:lvl>
    <w:lvl w:ilvl="8">
      <w:start w:val="1"/>
      <w:numFmt w:val="lowerRoman"/>
      <w:isLgl w:val="false"/>
      <w:suff w:val="tab"/>
      <w:lvlText w:val="%9."/>
      <w:lvlJc w:val="right"/>
      <w:pPr>
        <w:ind w:left="7189" w:hanging="180"/>
      </w:pPr>
    </w:lvl>
  </w:abstractNum>
  <w:abstractNum w:abstractNumId="4">
    <w:multiLevelType w:val="hybridMultilevel"/>
    <w:lvl w:ilvl="0">
      <w:start w:val="10"/>
      <w:numFmt w:val="decimal"/>
      <w:isLgl w:val="false"/>
      <w:suff w:val="tab"/>
      <w:lvlText w:val="%1."/>
      <w:lvlJc w:val="left"/>
      <w:pPr>
        <w:ind w:left="1083" w:hanging="375"/>
      </w:pPr>
      <w:rPr>
        <w:rFonts w:hint="default"/>
      </w:rPr>
    </w:lvl>
    <w:lvl w:ilvl="1">
      <w:start w:val="1"/>
      <w:numFmt w:val="lowerLetter"/>
      <w:isLgl w:val="false"/>
      <w:suff w:val="tab"/>
      <w:lvlText w:val="%2."/>
      <w:lvlJc w:val="left"/>
      <w:pPr>
        <w:ind w:left="1788" w:hanging="360"/>
      </w:pPr>
    </w:lvl>
    <w:lvl w:ilvl="2">
      <w:start w:val="1"/>
      <w:numFmt w:val="lowerRoman"/>
      <w:isLgl w:val="false"/>
      <w:suff w:val="tab"/>
      <w:lvlText w:val="%3."/>
      <w:lvlJc w:val="right"/>
      <w:pPr>
        <w:ind w:left="2508" w:hanging="180"/>
      </w:pPr>
    </w:lvl>
    <w:lvl w:ilvl="3">
      <w:start w:val="1"/>
      <w:numFmt w:val="decimal"/>
      <w:isLgl w:val="false"/>
      <w:suff w:val="tab"/>
      <w:lvlText w:val="%4."/>
      <w:lvlJc w:val="left"/>
      <w:pPr>
        <w:ind w:left="3228" w:hanging="360"/>
      </w:pPr>
    </w:lvl>
    <w:lvl w:ilvl="4">
      <w:start w:val="1"/>
      <w:numFmt w:val="lowerLetter"/>
      <w:isLgl w:val="false"/>
      <w:suff w:val="tab"/>
      <w:lvlText w:val="%5."/>
      <w:lvlJc w:val="left"/>
      <w:pPr>
        <w:ind w:left="3948" w:hanging="360"/>
      </w:pPr>
    </w:lvl>
    <w:lvl w:ilvl="5">
      <w:start w:val="1"/>
      <w:numFmt w:val="lowerRoman"/>
      <w:isLgl w:val="false"/>
      <w:suff w:val="tab"/>
      <w:lvlText w:val="%6."/>
      <w:lvlJc w:val="right"/>
      <w:pPr>
        <w:ind w:left="4668" w:hanging="180"/>
      </w:pPr>
    </w:lvl>
    <w:lvl w:ilvl="6">
      <w:start w:val="1"/>
      <w:numFmt w:val="decimal"/>
      <w:isLgl w:val="false"/>
      <w:suff w:val="tab"/>
      <w:lvlText w:val="%7."/>
      <w:lvlJc w:val="left"/>
      <w:pPr>
        <w:ind w:left="5388" w:hanging="360"/>
      </w:pPr>
    </w:lvl>
    <w:lvl w:ilvl="7">
      <w:start w:val="1"/>
      <w:numFmt w:val="lowerLetter"/>
      <w:isLgl w:val="false"/>
      <w:suff w:val="tab"/>
      <w:lvlText w:val="%8."/>
      <w:lvlJc w:val="left"/>
      <w:pPr>
        <w:ind w:left="6108" w:hanging="360"/>
      </w:pPr>
    </w:lvl>
    <w:lvl w:ilvl="8">
      <w:start w:val="1"/>
      <w:numFmt w:val="lowerRoman"/>
      <w:isLgl w:val="false"/>
      <w:suff w:val="tab"/>
      <w:lvlText w:val="%9."/>
      <w:lvlJc w:val="right"/>
      <w:pPr>
        <w:ind w:left="6828" w:hanging="180"/>
      </w:pPr>
    </w:lvl>
  </w:abstractNum>
  <w:abstractNum w:abstractNumId="5">
    <w:multiLevelType w:val="hybridMultilevel"/>
    <w:lvl w:ilvl="0">
      <w:start w:val="1"/>
      <w:numFmt w:val="decimal"/>
      <w:isLgl w:val="false"/>
      <w:suff w:val="tab"/>
      <w:lvlText w:val="%1."/>
      <w:lvlJc w:val="left"/>
      <w:pPr>
        <w:ind w:left="1174" w:hanging="465"/>
      </w:pPr>
      <w:rPr>
        <w:rFonts w:hint="default"/>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6">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
      <w:lvlJc w:val="left"/>
      <w:pPr>
        <w:ind w:left="1440" w:hanging="360"/>
        <w:tabs>
          <w:tab w:val="num" w:pos="1440" w:leader="none"/>
        </w:tabs>
      </w:pPr>
      <w:rPr>
        <w:rFonts w:hint="default" w:ascii="Symbol" w:hAnsi="Symbol"/>
        <w:sz w:val="20"/>
      </w:rPr>
    </w:lvl>
    <w:lvl w:ilvl="2">
      <w:start w:val="1"/>
      <w:numFmt w:val="bullet"/>
      <w:isLgl w:val="false"/>
      <w:suff w:val="tab"/>
      <w:lvlText w:val=""/>
      <w:lvlJc w:val="left"/>
      <w:pPr>
        <w:ind w:left="2160" w:hanging="360"/>
        <w:tabs>
          <w:tab w:val="num" w:pos="2160" w:leader="none"/>
        </w:tabs>
      </w:pPr>
      <w:rPr>
        <w:rFonts w:hint="default" w:ascii="Symbol" w:hAnsi="Symbol"/>
        <w:sz w:val="20"/>
      </w:rPr>
    </w:lvl>
    <w:lvl w:ilvl="3">
      <w:start w:val="1"/>
      <w:numFmt w:val="bullet"/>
      <w:isLgl w:val="false"/>
      <w:suff w:val="tab"/>
      <w:lvlText w:val=""/>
      <w:lvlJc w:val="left"/>
      <w:pPr>
        <w:ind w:left="2880" w:hanging="360"/>
        <w:tabs>
          <w:tab w:val="num" w:pos="2880" w:leader="none"/>
        </w:tabs>
      </w:pPr>
      <w:rPr>
        <w:rFonts w:hint="default" w:ascii="Symbol" w:hAnsi="Symbol"/>
        <w:sz w:val="20"/>
      </w:rPr>
    </w:lvl>
    <w:lvl w:ilvl="4">
      <w:start w:val="1"/>
      <w:numFmt w:val="bullet"/>
      <w:isLgl w:val="false"/>
      <w:suff w:val="tab"/>
      <w:lvlText w:val=""/>
      <w:lvlJc w:val="left"/>
      <w:pPr>
        <w:ind w:left="3600" w:hanging="360"/>
        <w:tabs>
          <w:tab w:val="num" w:pos="3600" w:leader="none"/>
        </w:tabs>
      </w:pPr>
      <w:rPr>
        <w:rFonts w:hint="default" w:ascii="Symbol" w:hAnsi="Symbol"/>
        <w:sz w:val="20"/>
      </w:rPr>
    </w:lvl>
    <w:lvl w:ilvl="5">
      <w:start w:val="1"/>
      <w:numFmt w:val="bullet"/>
      <w:isLgl w:val="false"/>
      <w:suff w:val="tab"/>
      <w:lvlText w:val=""/>
      <w:lvlJc w:val="left"/>
      <w:pPr>
        <w:ind w:left="4320" w:hanging="360"/>
        <w:tabs>
          <w:tab w:val="num" w:pos="4320" w:leader="none"/>
        </w:tabs>
      </w:pPr>
      <w:rPr>
        <w:rFonts w:hint="default" w:ascii="Symbol" w:hAnsi="Symbol"/>
        <w:sz w:val="20"/>
      </w:rPr>
    </w:lvl>
    <w:lvl w:ilvl="6">
      <w:start w:val="1"/>
      <w:numFmt w:val="bullet"/>
      <w:isLgl w:val="false"/>
      <w:suff w:val="tab"/>
      <w:lvlText w:val=""/>
      <w:lvlJc w:val="left"/>
      <w:pPr>
        <w:ind w:left="5040" w:hanging="360"/>
        <w:tabs>
          <w:tab w:val="num" w:pos="5040" w:leader="none"/>
        </w:tabs>
      </w:pPr>
      <w:rPr>
        <w:rFonts w:hint="default" w:ascii="Symbol" w:hAnsi="Symbol"/>
        <w:sz w:val="20"/>
      </w:rPr>
    </w:lvl>
    <w:lvl w:ilvl="7">
      <w:start w:val="1"/>
      <w:numFmt w:val="bullet"/>
      <w:isLgl w:val="false"/>
      <w:suff w:val="tab"/>
      <w:lvlText w:val=""/>
      <w:lvlJc w:val="left"/>
      <w:pPr>
        <w:ind w:left="5760" w:hanging="360"/>
        <w:tabs>
          <w:tab w:val="num" w:pos="5760" w:leader="none"/>
        </w:tabs>
      </w:pPr>
      <w:rPr>
        <w:rFonts w:hint="default" w:ascii="Symbol" w:hAnsi="Symbol"/>
        <w:sz w:val="20"/>
      </w:rPr>
    </w:lvl>
    <w:lvl w:ilvl="8">
      <w:start w:val="1"/>
      <w:numFmt w:val="bullet"/>
      <w:isLgl w:val="false"/>
      <w:suff w:val="tab"/>
      <w:lvlText w:val=""/>
      <w:lvlJc w:val="left"/>
      <w:pPr>
        <w:ind w:left="6480" w:hanging="360"/>
        <w:tabs>
          <w:tab w:val="num" w:pos="6480" w:leader="none"/>
        </w:tabs>
      </w:pPr>
      <w:rPr>
        <w:rFonts w:hint="default" w:ascii="Symbol" w:hAnsi="Symbol"/>
        <w:sz w:val="20"/>
      </w:rPr>
    </w:lvl>
  </w:abstractNum>
  <w:abstractNum w:abstractNumId="7">
    <w:multiLevelType w:val="hybridMultilevel"/>
    <w:lvl w:ilvl="0">
      <w:start w:val="1"/>
      <w:numFmt w:val="decimal"/>
      <w:isLgl w:val="false"/>
      <w:suff w:val="tab"/>
      <w:lvlText w:val="%1."/>
      <w:lvlJc w:val="left"/>
      <w:pPr>
        <w:ind w:left="1068" w:hanging="360"/>
      </w:pPr>
      <w:rPr>
        <w:rFonts w:hint="default"/>
      </w:rPr>
    </w:lvl>
    <w:lvl w:ilvl="1">
      <w:start w:val="1"/>
      <w:numFmt w:val="lowerLetter"/>
      <w:isLgl w:val="false"/>
      <w:suff w:val="tab"/>
      <w:lvlText w:val="%2."/>
      <w:lvlJc w:val="left"/>
      <w:pPr>
        <w:ind w:left="1788" w:hanging="360"/>
      </w:pPr>
    </w:lvl>
    <w:lvl w:ilvl="2">
      <w:start w:val="1"/>
      <w:numFmt w:val="lowerRoman"/>
      <w:isLgl w:val="false"/>
      <w:suff w:val="tab"/>
      <w:lvlText w:val="%3."/>
      <w:lvlJc w:val="right"/>
      <w:pPr>
        <w:ind w:left="2508" w:hanging="180"/>
      </w:pPr>
    </w:lvl>
    <w:lvl w:ilvl="3">
      <w:start w:val="1"/>
      <w:numFmt w:val="decimal"/>
      <w:isLgl w:val="false"/>
      <w:suff w:val="tab"/>
      <w:lvlText w:val="%4."/>
      <w:lvlJc w:val="left"/>
      <w:pPr>
        <w:ind w:left="3228" w:hanging="360"/>
      </w:pPr>
    </w:lvl>
    <w:lvl w:ilvl="4">
      <w:start w:val="1"/>
      <w:numFmt w:val="lowerLetter"/>
      <w:isLgl w:val="false"/>
      <w:suff w:val="tab"/>
      <w:lvlText w:val="%5."/>
      <w:lvlJc w:val="left"/>
      <w:pPr>
        <w:ind w:left="3948" w:hanging="360"/>
      </w:pPr>
    </w:lvl>
    <w:lvl w:ilvl="5">
      <w:start w:val="1"/>
      <w:numFmt w:val="lowerRoman"/>
      <w:isLgl w:val="false"/>
      <w:suff w:val="tab"/>
      <w:lvlText w:val="%6."/>
      <w:lvlJc w:val="right"/>
      <w:pPr>
        <w:ind w:left="4668" w:hanging="180"/>
      </w:pPr>
    </w:lvl>
    <w:lvl w:ilvl="6">
      <w:start w:val="1"/>
      <w:numFmt w:val="decimal"/>
      <w:isLgl w:val="false"/>
      <w:suff w:val="tab"/>
      <w:lvlText w:val="%7."/>
      <w:lvlJc w:val="left"/>
      <w:pPr>
        <w:ind w:left="5388" w:hanging="360"/>
      </w:pPr>
    </w:lvl>
    <w:lvl w:ilvl="7">
      <w:start w:val="1"/>
      <w:numFmt w:val="lowerLetter"/>
      <w:isLgl w:val="false"/>
      <w:suff w:val="tab"/>
      <w:lvlText w:val="%8."/>
      <w:lvlJc w:val="left"/>
      <w:pPr>
        <w:ind w:left="6108" w:hanging="360"/>
      </w:pPr>
    </w:lvl>
    <w:lvl w:ilvl="8">
      <w:start w:val="1"/>
      <w:numFmt w:val="lowerRoman"/>
      <w:isLgl w:val="false"/>
      <w:suff w:val="tab"/>
      <w:lvlText w:val="%9."/>
      <w:lvlJc w:val="right"/>
      <w:pPr>
        <w:ind w:left="6828" w:hanging="180"/>
      </w:pPr>
    </w:lvl>
  </w:abstractNum>
  <w:abstractNum w:abstractNumId="8">
    <w:multiLevelType w:val="hybridMultilevel"/>
    <w:lvl w:ilvl="0">
      <w:start w:val="1"/>
      <w:numFmt w:val="bullet"/>
      <w:isLgl w:val="false"/>
      <w:suff w:val="tab"/>
      <w:lvlText w:val=""/>
      <w:lvlJc w:val="left"/>
      <w:pPr>
        <w:ind w:left="1429" w:hanging="360"/>
      </w:pPr>
      <w:rPr>
        <w:rFonts w:hint="default" w:ascii="Symbol" w:hAnsi="Symbol"/>
      </w:rPr>
    </w:lvl>
    <w:lvl w:ilvl="1">
      <w:start w:val="1"/>
      <w:numFmt w:val="bullet"/>
      <w:isLgl w:val="false"/>
      <w:suff w:val="tab"/>
      <w:lvlText w:val="o"/>
      <w:lvlJc w:val="left"/>
      <w:pPr>
        <w:ind w:left="2149" w:hanging="360"/>
      </w:pPr>
      <w:rPr>
        <w:rFonts w:hint="default" w:ascii="Courier New" w:hAnsi="Courier New" w:cs="Courier New"/>
      </w:rPr>
    </w:lvl>
    <w:lvl w:ilvl="2">
      <w:start w:val="1"/>
      <w:numFmt w:val="bullet"/>
      <w:isLgl w:val="false"/>
      <w:suff w:val="tab"/>
      <w:lvlText w:val=""/>
      <w:lvlJc w:val="left"/>
      <w:pPr>
        <w:ind w:left="2869" w:hanging="360"/>
      </w:pPr>
      <w:rPr>
        <w:rFonts w:hint="default" w:ascii="Wingdings" w:hAnsi="Wingdings"/>
      </w:rPr>
    </w:lvl>
    <w:lvl w:ilvl="3">
      <w:start w:val="1"/>
      <w:numFmt w:val="bullet"/>
      <w:isLgl w:val="false"/>
      <w:suff w:val="tab"/>
      <w:lvlText w:val=""/>
      <w:lvlJc w:val="left"/>
      <w:pPr>
        <w:ind w:left="3589" w:hanging="360"/>
      </w:pPr>
      <w:rPr>
        <w:rFonts w:hint="default" w:ascii="Symbol" w:hAnsi="Symbol"/>
      </w:rPr>
    </w:lvl>
    <w:lvl w:ilvl="4">
      <w:start w:val="1"/>
      <w:numFmt w:val="bullet"/>
      <w:isLgl w:val="false"/>
      <w:suff w:val="tab"/>
      <w:lvlText w:val="o"/>
      <w:lvlJc w:val="left"/>
      <w:pPr>
        <w:ind w:left="4309" w:hanging="360"/>
      </w:pPr>
      <w:rPr>
        <w:rFonts w:hint="default" w:ascii="Courier New" w:hAnsi="Courier New" w:cs="Courier New"/>
      </w:rPr>
    </w:lvl>
    <w:lvl w:ilvl="5">
      <w:start w:val="1"/>
      <w:numFmt w:val="bullet"/>
      <w:isLgl w:val="false"/>
      <w:suff w:val="tab"/>
      <w:lvlText w:val=""/>
      <w:lvlJc w:val="left"/>
      <w:pPr>
        <w:ind w:left="5029" w:hanging="360"/>
      </w:pPr>
      <w:rPr>
        <w:rFonts w:hint="default" w:ascii="Wingdings" w:hAnsi="Wingdings"/>
      </w:rPr>
    </w:lvl>
    <w:lvl w:ilvl="6">
      <w:start w:val="1"/>
      <w:numFmt w:val="bullet"/>
      <w:isLgl w:val="false"/>
      <w:suff w:val="tab"/>
      <w:lvlText w:val=""/>
      <w:lvlJc w:val="left"/>
      <w:pPr>
        <w:ind w:left="5749" w:hanging="360"/>
      </w:pPr>
      <w:rPr>
        <w:rFonts w:hint="default" w:ascii="Symbol" w:hAnsi="Symbol"/>
      </w:rPr>
    </w:lvl>
    <w:lvl w:ilvl="7">
      <w:start w:val="1"/>
      <w:numFmt w:val="bullet"/>
      <w:isLgl w:val="false"/>
      <w:suff w:val="tab"/>
      <w:lvlText w:val="o"/>
      <w:lvlJc w:val="left"/>
      <w:pPr>
        <w:ind w:left="6469" w:hanging="360"/>
      </w:pPr>
      <w:rPr>
        <w:rFonts w:hint="default" w:ascii="Courier New" w:hAnsi="Courier New" w:cs="Courier New"/>
      </w:rPr>
    </w:lvl>
    <w:lvl w:ilvl="8">
      <w:start w:val="1"/>
      <w:numFmt w:val="bullet"/>
      <w:isLgl w:val="false"/>
      <w:suff w:val="tab"/>
      <w:lvlText w:val=""/>
      <w:lvlJc w:val="left"/>
      <w:pPr>
        <w:ind w:left="7189" w:hanging="360"/>
      </w:pPr>
      <w:rPr>
        <w:rFonts w:hint="default" w:ascii="Wingdings" w:hAnsi="Wingdings"/>
      </w:rPr>
    </w:lvl>
  </w:abstractNum>
  <w:abstractNum w:abstractNumId="9">
    <w:multiLevelType w:val="hybridMultilevel"/>
    <w:lvl w:ilvl="0">
      <w:start w:val="1"/>
      <w:numFmt w:val="decimal"/>
      <w:isLgl w:val="false"/>
      <w:suff w:val="tab"/>
      <w:lvlText w:val="%1."/>
      <w:lvlJc w:val="left"/>
      <w:pPr>
        <w:ind w:left="1144" w:hanging="435"/>
      </w:pPr>
      <w:rPr>
        <w:rFonts w:hint="default"/>
        <w:color w:val="auto"/>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10">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11">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12">
    <w:multiLevelType w:val="hybridMultilevel"/>
    <w:lvl w:ilvl="0">
      <w:start w:val="7"/>
      <w:numFmt w:val="decimal"/>
      <w:isLgl w:val="false"/>
      <w:suff w:val="tab"/>
      <w:lvlText w:val="%1."/>
      <w:lvlJc w:val="left"/>
      <w:pPr>
        <w:ind w:left="1069" w:hanging="360"/>
      </w:pPr>
      <w:rPr>
        <w:rFonts w:hint="default"/>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13">
    <w:multiLevelType w:val="hybridMultilevel"/>
    <w:lvl w:ilvl="0">
      <w:start w:val="1"/>
      <w:numFmt w:val="bullet"/>
      <w:isLgl w:val="false"/>
      <w:suff w:val="tab"/>
      <w:lvlText w:val=""/>
      <w:lvlJc w:val="left"/>
      <w:pPr>
        <w:ind w:left="1429" w:hanging="360"/>
      </w:pPr>
      <w:rPr>
        <w:rFonts w:hint="default" w:ascii="Symbol" w:hAnsi="Symbol"/>
      </w:rPr>
    </w:lvl>
    <w:lvl w:ilvl="1">
      <w:start w:val="1"/>
      <w:numFmt w:val="bullet"/>
      <w:isLgl w:val="false"/>
      <w:suff w:val="tab"/>
      <w:lvlText w:val="o"/>
      <w:lvlJc w:val="left"/>
      <w:pPr>
        <w:ind w:left="2149" w:hanging="360"/>
      </w:pPr>
      <w:rPr>
        <w:rFonts w:hint="default" w:ascii="Courier New" w:hAnsi="Courier New" w:cs="Courier New"/>
      </w:rPr>
    </w:lvl>
    <w:lvl w:ilvl="2">
      <w:start w:val="1"/>
      <w:numFmt w:val="bullet"/>
      <w:isLgl w:val="false"/>
      <w:suff w:val="tab"/>
      <w:lvlText w:val=""/>
      <w:lvlJc w:val="left"/>
      <w:pPr>
        <w:ind w:left="2869" w:hanging="360"/>
      </w:pPr>
      <w:rPr>
        <w:rFonts w:hint="default" w:ascii="Wingdings" w:hAnsi="Wingdings"/>
      </w:rPr>
    </w:lvl>
    <w:lvl w:ilvl="3">
      <w:start w:val="1"/>
      <w:numFmt w:val="bullet"/>
      <w:isLgl w:val="false"/>
      <w:suff w:val="tab"/>
      <w:lvlText w:val=""/>
      <w:lvlJc w:val="left"/>
      <w:pPr>
        <w:ind w:left="3589" w:hanging="360"/>
      </w:pPr>
      <w:rPr>
        <w:rFonts w:hint="default" w:ascii="Symbol" w:hAnsi="Symbol"/>
      </w:rPr>
    </w:lvl>
    <w:lvl w:ilvl="4">
      <w:start w:val="1"/>
      <w:numFmt w:val="bullet"/>
      <w:isLgl w:val="false"/>
      <w:suff w:val="tab"/>
      <w:lvlText w:val="o"/>
      <w:lvlJc w:val="left"/>
      <w:pPr>
        <w:ind w:left="4309" w:hanging="360"/>
      </w:pPr>
      <w:rPr>
        <w:rFonts w:hint="default" w:ascii="Courier New" w:hAnsi="Courier New" w:cs="Courier New"/>
      </w:rPr>
    </w:lvl>
    <w:lvl w:ilvl="5">
      <w:start w:val="1"/>
      <w:numFmt w:val="bullet"/>
      <w:isLgl w:val="false"/>
      <w:suff w:val="tab"/>
      <w:lvlText w:val=""/>
      <w:lvlJc w:val="left"/>
      <w:pPr>
        <w:ind w:left="5029" w:hanging="360"/>
      </w:pPr>
      <w:rPr>
        <w:rFonts w:hint="default" w:ascii="Wingdings" w:hAnsi="Wingdings"/>
      </w:rPr>
    </w:lvl>
    <w:lvl w:ilvl="6">
      <w:start w:val="1"/>
      <w:numFmt w:val="bullet"/>
      <w:isLgl w:val="false"/>
      <w:suff w:val="tab"/>
      <w:lvlText w:val=""/>
      <w:lvlJc w:val="left"/>
      <w:pPr>
        <w:ind w:left="5749" w:hanging="360"/>
      </w:pPr>
      <w:rPr>
        <w:rFonts w:hint="default" w:ascii="Symbol" w:hAnsi="Symbol"/>
      </w:rPr>
    </w:lvl>
    <w:lvl w:ilvl="7">
      <w:start w:val="1"/>
      <w:numFmt w:val="bullet"/>
      <w:isLgl w:val="false"/>
      <w:suff w:val="tab"/>
      <w:lvlText w:val="o"/>
      <w:lvlJc w:val="left"/>
      <w:pPr>
        <w:ind w:left="6469" w:hanging="360"/>
      </w:pPr>
      <w:rPr>
        <w:rFonts w:hint="default" w:ascii="Courier New" w:hAnsi="Courier New" w:cs="Courier New"/>
      </w:rPr>
    </w:lvl>
    <w:lvl w:ilvl="8">
      <w:start w:val="1"/>
      <w:numFmt w:val="bullet"/>
      <w:isLgl w:val="false"/>
      <w:suff w:val="tab"/>
      <w:lvlText w:val=""/>
      <w:lvlJc w:val="left"/>
      <w:pPr>
        <w:ind w:left="7189" w:hanging="360"/>
      </w:pPr>
      <w:rPr>
        <w:rFonts w:hint="default" w:ascii="Wingdings" w:hAnsi="Wingdings"/>
      </w:rPr>
    </w:lvl>
  </w:abstractNum>
  <w:abstractNum w:abstractNumId="14">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15">
    <w:multiLevelType w:val="hybridMultilevel"/>
    <w:lvl w:ilvl="0">
      <w:start w:val="4"/>
      <w:numFmt w:val="decimal"/>
      <w:isLgl w:val="false"/>
      <w:suff w:val="tab"/>
      <w:lvlText w:val="%1."/>
      <w:lvlJc w:val="left"/>
      <w:pPr>
        <w:ind w:left="1068" w:hanging="360"/>
      </w:pPr>
      <w:rPr>
        <w:rFonts w:hint="default"/>
      </w:rPr>
    </w:lvl>
    <w:lvl w:ilvl="1">
      <w:start w:val="1"/>
      <w:numFmt w:val="lowerLetter"/>
      <w:isLgl w:val="false"/>
      <w:suff w:val="tab"/>
      <w:lvlText w:val="%2."/>
      <w:lvlJc w:val="left"/>
      <w:pPr>
        <w:ind w:left="1788" w:hanging="360"/>
      </w:pPr>
    </w:lvl>
    <w:lvl w:ilvl="2">
      <w:start w:val="1"/>
      <w:numFmt w:val="lowerRoman"/>
      <w:isLgl w:val="false"/>
      <w:suff w:val="tab"/>
      <w:lvlText w:val="%3."/>
      <w:lvlJc w:val="right"/>
      <w:pPr>
        <w:ind w:left="2508" w:hanging="180"/>
      </w:pPr>
    </w:lvl>
    <w:lvl w:ilvl="3">
      <w:start w:val="1"/>
      <w:numFmt w:val="decimal"/>
      <w:isLgl w:val="false"/>
      <w:suff w:val="tab"/>
      <w:lvlText w:val="%4."/>
      <w:lvlJc w:val="left"/>
      <w:pPr>
        <w:ind w:left="3228" w:hanging="360"/>
      </w:pPr>
    </w:lvl>
    <w:lvl w:ilvl="4">
      <w:start w:val="1"/>
      <w:numFmt w:val="lowerLetter"/>
      <w:isLgl w:val="false"/>
      <w:suff w:val="tab"/>
      <w:lvlText w:val="%5."/>
      <w:lvlJc w:val="left"/>
      <w:pPr>
        <w:ind w:left="3948" w:hanging="360"/>
      </w:pPr>
    </w:lvl>
    <w:lvl w:ilvl="5">
      <w:start w:val="1"/>
      <w:numFmt w:val="lowerRoman"/>
      <w:isLgl w:val="false"/>
      <w:suff w:val="tab"/>
      <w:lvlText w:val="%6."/>
      <w:lvlJc w:val="right"/>
      <w:pPr>
        <w:ind w:left="4668" w:hanging="180"/>
      </w:pPr>
    </w:lvl>
    <w:lvl w:ilvl="6">
      <w:start w:val="1"/>
      <w:numFmt w:val="decimal"/>
      <w:isLgl w:val="false"/>
      <w:suff w:val="tab"/>
      <w:lvlText w:val="%7."/>
      <w:lvlJc w:val="left"/>
      <w:pPr>
        <w:ind w:left="5388" w:hanging="360"/>
      </w:pPr>
    </w:lvl>
    <w:lvl w:ilvl="7">
      <w:start w:val="1"/>
      <w:numFmt w:val="lowerLetter"/>
      <w:isLgl w:val="false"/>
      <w:suff w:val="tab"/>
      <w:lvlText w:val="%8."/>
      <w:lvlJc w:val="left"/>
      <w:pPr>
        <w:ind w:left="6108" w:hanging="360"/>
      </w:pPr>
    </w:lvl>
    <w:lvl w:ilvl="8">
      <w:start w:val="1"/>
      <w:numFmt w:val="lowerRoman"/>
      <w:isLgl w:val="false"/>
      <w:suff w:val="tab"/>
      <w:lvlText w:val="%9."/>
      <w:lvlJc w:val="right"/>
      <w:pPr>
        <w:ind w:left="6828" w:hanging="180"/>
      </w:pPr>
    </w:lvl>
  </w:abstractNum>
  <w:abstractNum w:abstractNumId="16">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17">
    <w:multiLevelType w:val="hybridMultilevel"/>
    <w:lvl w:ilvl="0">
      <w:start w:val="1"/>
      <w:numFmt w:val="decimal"/>
      <w:isLgl w:val="false"/>
      <w:suff w:val="tab"/>
      <w:lvlText w:val="%1."/>
      <w:lvlJc w:val="left"/>
      <w:pPr>
        <w:ind w:left="1429" w:hanging="360"/>
      </w:pPr>
      <w:rPr>
        <w:rFonts w:hint="default"/>
      </w:rPr>
    </w:lvl>
    <w:lvl w:ilvl="1">
      <w:start w:val="1"/>
      <w:numFmt w:val="lowerLetter"/>
      <w:isLgl w:val="false"/>
      <w:suff w:val="tab"/>
      <w:lvlText w:val="%2."/>
      <w:lvlJc w:val="left"/>
      <w:pPr>
        <w:ind w:left="2149" w:hanging="360"/>
      </w:pPr>
    </w:lvl>
    <w:lvl w:ilvl="2">
      <w:start w:val="1"/>
      <w:numFmt w:val="lowerRoman"/>
      <w:isLgl w:val="false"/>
      <w:suff w:val="tab"/>
      <w:lvlText w:val="%3."/>
      <w:lvlJc w:val="right"/>
      <w:pPr>
        <w:ind w:left="2869" w:hanging="180"/>
      </w:pPr>
    </w:lvl>
    <w:lvl w:ilvl="3">
      <w:start w:val="1"/>
      <w:numFmt w:val="decimal"/>
      <w:isLgl w:val="false"/>
      <w:suff w:val="tab"/>
      <w:lvlText w:val="%4."/>
      <w:lvlJc w:val="left"/>
      <w:pPr>
        <w:ind w:left="3589" w:hanging="360"/>
      </w:pPr>
    </w:lvl>
    <w:lvl w:ilvl="4">
      <w:start w:val="1"/>
      <w:numFmt w:val="lowerLetter"/>
      <w:isLgl w:val="false"/>
      <w:suff w:val="tab"/>
      <w:lvlText w:val="%5."/>
      <w:lvlJc w:val="left"/>
      <w:pPr>
        <w:ind w:left="4309" w:hanging="360"/>
      </w:pPr>
    </w:lvl>
    <w:lvl w:ilvl="5">
      <w:start w:val="1"/>
      <w:numFmt w:val="lowerRoman"/>
      <w:isLgl w:val="false"/>
      <w:suff w:val="tab"/>
      <w:lvlText w:val="%6."/>
      <w:lvlJc w:val="right"/>
      <w:pPr>
        <w:ind w:left="5029" w:hanging="180"/>
      </w:pPr>
    </w:lvl>
    <w:lvl w:ilvl="6">
      <w:start w:val="1"/>
      <w:numFmt w:val="decimal"/>
      <w:isLgl w:val="false"/>
      <w:suff w:val="tab"/>
      <w:lvlText w:val="%7."/>
      <w:lvlJc w:val="left"/>
      <w:pPr>
        <w:ind w:left="5749" w:hanging="360"/>
      </w:pPr>
    </w:lvl>
    <w:lvl w:ilvl="7">
      <w:start w:val="1"/>
      <w:numFmt w:val="lowerLetter"/>
      <w:isLgl w:val="false"/>
      <w:suff w:val="tab"/>
      <w:lvlText w:val="%8."/>
      <w:lvlJc w:val="left"/>
      <w:pPr>
        <w:ind w:left="6469" w:hanging="360"/>
      </w:pPr>
    </w:lvl>
    <w:lvl w:ilvl="8">
      <w:start w:val="1"/>
      <w:numFmt w:val="lowerRoman"/>
      <w:isLgl w:val="false"/>
      <w:suff w:val="tab"/>
      <w:lvlText w:val="%9."/>
      <w:lvlJc w:val="right"/>
      <w:pPr>
        <w:ind w:left="7189" w:hanging="180"/>
      </w:pPr>
    </w:lvl>
  </w:abstractNum>
  <w:abstractNum w:abstractNumId="18">
    <w:multiLevelType w:val="hybridMultilevel"/>
    <w:lvl w:ilvl="0">
      <w:start w:val="1"/>
      <w:numFmt w:val="decimal"/>
      <w:isLgl w:val="false"/>
      <w:suff w:val="tab"/>
      <w:lvlText w:val="%1."/>
      <w:lvlJc w:val="left"/>
      <w:pPr>
        <w:ind w:left="1779"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9">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20">
    <w:multiLevelType w:val="hybridMultilevel"/>
    <w:lvl w:ilvl="0">
      <w:start w:val="19"/>
      <w:numFmt w:val="decimal"/>
      <w:isLgl w:val="false"/>
      <w:suff w:val="tab"/>
      <w:lvlText w:val="%1."/>
      <w:lvlJc w:val="left"/>
      <w:pPr>
        <w:ind w:left="1084" w:hanging="375"/>
      </w:pPr>
      <w:rPr>
        <w:rFonts w:hint="default"/>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21">
    <w:multiLevelType w:val="hybridMultilevel"/>
    <w:lvl w:ilvl="0">
      <w:start w:val="1"/>
      <w:numFmt w:val="decimal"/>
      <w:isLgl w:val="false"/>
      <w:suff w:val="tab"/>
      <w:lvlText w:val="%1."/>
      <w:lvlJc w:val="left"/>
      <w:pPr>
        <w:ind w:left="1069" w:hanging="360"/>
      </w:pPr>
      <w:rPr>
        <w:rFonts w:hint="default"/>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22">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23">
    <w:multiLevelType w:val="hybridMultilevel"/>
    <w:lvl w:ilvl="0">
      <w:start w:val="2"/>
      <w:numFmt w:val="decimal"/>
      <w:isLgl w:val="false"/>
      <w:suff w:val="tab"/>
      <w:lvlText w:val="%1."/>
      <w:lvlJc w:val="left"/>
      <w:pPr>
        <w:ind w:left="1068" w:hanging="360"/>
      </w:pPr>
      <w:rPr>
        <w:rFonts w:hint="default"/>
        <w:b/>
      </w:rPr>
    </w:lvl>
    <w:lvl w:ilvl="1">
      <w:start w:val="1"/>
      <w:numFmt w:val="lowerLetter"/>
      <w:isLgl w:val="false"/>
      <w:suff w:val="tab"/>
      <w:lvlText w:val="%2."/>
      <w:lvlJc w:val="left"/>
      <w:pPr>
        <w:ind w:left="1788" w:hanging="360"/>
      </w:pPr>
    </w:lvl>
    <w:lvl w:ilvl="2">
      <w:start w:val="1"/>
      <w:numFmt w:val="lowerRoman"/>
      <w:isLgl w:val="false"/>
      <w:suff w:val="tab"/>
      <w:lvlText w:val="%3."/>
      <w:lvlJc w:val="right"/>
      <w:pPr>
        <w:ind w:left="2508" w:hanging="180"/>
      </w:pPr>
    </w:lvl>
    <w:lvl w:ilvl="3">
      <w:start w:val="1"/>
      <w:numFmt w:val="decimal"/>
      <w:isLgl w:val="false"/>
      <w:suff w:val="tab"/>
      <w:lvlText w:val="%4."/>
      <w:lvlJc w:val="left"/>
      <w:pPr>
        <w:ind w:left="3228" w:hanging="360"/>
      </w:pPr>
    </w:lvl>
    <w:lvl w:ilvl="4">
      <w:start w:val="1"/>
      <w:numFmt w:val="lowerLetter"/>
      <w:isLgl w:val="false"/>
      <w:suff w:val="tab"/>
      <w:lvlText w:val="%5."/>
      <w:lvlJc w:val="left"/>
      <w:pPr>
        <w:ind w:left="3948" w:hanging="360"/>
      </w:pPr>
    </w:lvl>
    <w:lvl w:ilvl="5">
      <w:start w:val="1"/>
      <w:numFmt w:val="lowerRoman"/>
      <w:isLgl w:val="false"/>
      <w:suff w:val="tab"/>
      <w:lvlText w:val="%6."/>
      <w:lvlJc w:val="right"/>
      <w:pPr>
        <w:ind w:left="4668" w:hanging="180"/>
      </w:pPr>
    </w:lvl>
    <w:lvl w:ilvl="6">
      <w:start w:val="1"/>
      <w:numFmt w:val="decimal"/>
      <w:isLgl w:val="false"/>
      <w:suff w:val="tab"/>
      <w:lvlText w:val="%7."/>
      <w:lvlJc w:val="left"/>
      <w:pPr>
        <w:ind w:left="5388" w:hanging="360"/>
      </w:pPr>
    </w:lvl>
    <w:lvl w:ilvl="7">
      <w:start w:val="1"/>
      <w:numFmt w:val="lowerLetter"/>
      <w:isLgl w:val="false"/>
      <w:suff w:val="tab"/>
      <w:lvlText w:val="%8."/>
      <w:lvlJc w:val="left"/>
      <w:pPr>
        <w:ind w:left="6108" w:hanging="360"/>
      </w:pPr>
    </w:lvl>
    <w:lvl w:ilvl="8">
      <w:start w:val="1"/>
      <w:numFmt w:val="lowerRoman"/>
      <w:isLgl w:val="false"/>
      <w:suff w:val="tab"/>
      <w:lvlText w:val="%9."/>
      <w:lvlJc w:val="right"/>
      <w:pPr>
        <w:ind w:left="6828" w:hanging="180"/>
      </w:pPr>
    </w:lvl>
  </w:abstractNum>
  <w:abstractNum w:abstractNumId="24">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25">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26">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27">
    <w:multiLevelType w:val="hybridMultilevel"/>
    <w:lvl w:ilvl="0">
      <w:start w:val="1"/>
      <w:numFmt w:val="decimal"/>
      <w:isLgl w:val="false"/>
      <w:suff w:val="tab"/>
      <w:lvlText w:val="%1."/>
      <w:lvlJc w:val="left"/>
      <w:pPr>
        <w:ind w:left="1068" w:hanging="360"/>
      </w:pPr>
      <w:rPr>
        <w:rFonts w:hint="default"/>
      </w:rPr>
    </w:lvl>
    <w:lvl w:ilvl="1">
      <w:start w:val="1"/>
      <w:numFmt w:val="lowerLetter"/>
      <w:isLgl w:val="false"/>
      <w:suff w:val="tab"/>
      <w:lvlText w:val="%2."/>
      <w:lvlJc w:val="left"/>
      <w:pPr>
        <w:ind w:left="1788" w:hanging="360"/>
      </w:pPr>
    </w:lvl>
    <w:lvl w:ilvl="2">
      <w:start w:val="1"/>
      <w:numFmt w:val="lowerRoman"/>
      <w:isLgl w:val="false"/>
      <w:suff w:val="tab"/>
      <w:lvlText w:val="%3."/>
      <w:lvlJc w:val="right"/>
      <w:pPr>
        <w:ind w:left="2508" w:hanging="180"/>
      </w:pPr>
    </w:lvl>
    <w:lvl w:ilvl="3">
      <w:start w:val="1"/>
      <w:numFmt w:val="decimal"/>
      <w:isLgl w:val="false"/>
      <w:suff w:val="tab"/>
      <w:lvlText w:val="%4."/>
      <w:lvlJc w:val="left"/>
      <w:pPr>
        <w:ind w:left="3228" w:hanging="360"/>
      </w:pPr>
    </w:lvl>
    <w:lvl w:ilvl="4">
      <w:start w:val="1"/>
      <w:numFmt w:val="lowerLetter"/>
      <w:isLgl w:val="false"/>
      <w:suff w:val="tab"/>
      <w:lvlText w:val="%5."/>
      <w:lvlJc w:val="left"/>
      <w:pPr>
        <w:ind w:left="3948" w:hanging="360"/>
      </w:pPr>
    </w:lvl>
    <w:lvl w:ilvl="5">
      <w:start w:val="1"/>
      <w:numFmt w:val="lowerRoman"/>
      <w:isLgl w:val="false"/>
      <w:suff w:val="tab"/>
      <w:lvlText w:val="%6."/>
      <w:lvlJc w:val="right"/>
      <w:pPr>
        <w:ind w:left="4668" w:hanging="180"/>
      </w:pPr>
    </w:lvl>
    <w:lvl w:ilvl="6">
      <w:start w:val="1"/>
      <w:numFmt w:val="decimal"/>
      <w:isLgl w:val="false"/>
      <w:suff w:val="tab"/>
      <w:lvlText w:val="%7."/>
      <w:lvlJc w:val="left"/>
      <w:pPr>
        <w:ind w:left="5388" w:hanging="360"/>
      </w:pPr>
    </w:lvl>
    <w:lvl w:ilvl="7">
      <w:start w:val="1"/>
      <w:numFmt w:val="lowerLetter"/>
      <w:isLgl w:val="false"/>
      <w:suff w:val="tab"/>
      <w:lvlText w:val="%8."/>
      <w:lvlJc w:val="left"/>
      <w:pPr>
        <w:ind w:left="6108" w:hanging="360"/>
      </w:pPr>
    </w:lvl>
    <w:lvl w:ilvl="8">
      <w:start w:val="1"/>
      <w:numFmt w:val="lowerRoman"/>
      <w:isLgl w:val="false"/>
      <w:suff w:val="tab"/>
      <w:lvlText w:val="%9."/>
      <w:lvlJc w:val="right"/>
      <w:pPr>
        <w:ind w:left="6828" w:hanging="180"/>
      </w:pPr>
    </w:lvl>
  </w:abstractNum>
  <w:abstractNum w:abstractNumId="28">
    <w:multiLevelType w:val="hybridMultilevel"/>
    <w:lvl w:ilvl="0">
      <w:start w:val="1"/>
      <w:numFmt w:val="bullet"/>
      <w:isLgl w:val="false"/>
      <w:suff w:val="tab"/>
      <w:lvlText w:val=""/>
      <w:lvlJc w:val="left"/>
      <w:pPr>
        <w:ind w:left="1260" w:hanging="360"/>
      </w:pPr>
      <w:rPr>
        <w:rFonts w:hint="default" w:ascii="Symbol" w:hAnsi="Symbol"/>
      </w:rPr>
    </w:lvl>
    <w:lvl w:ilvl="1">
      <w:start w:val="1"/>
      <w:numFmt w:val="bullet"/>
      <w:isLgl w:val="false"/>
      <w:suff w:val="tab"/>
      <w:lvlText w:val="o"/>
      <w:lvlJc w:val="left"/>
      <w:pPr>
        <w:ind w:left="1980" w:hanging="360"/>
      </w:pPr>
      <w:rPr>
        <w:rFonts w:hint="default" w:ascii="Courier New" w:hAnsi="Courier New" w:cs="Courier New"/>
      </w:rPr>
    </w:lvl>
    <w:lvl w:ilvl="2">
      <w:start w:val="1"/>
      <w:numFmt w:val="bullet"/>
      <w:isLgl w:val="false"/>
      <w:suff w:val="tab"/>
      <w:lvlText w:val=""/>
      <w:lvlJc w:val="left"/>
      <w:pPr>
        <w:ind w:left="2700" w:hanging="360"/>
      </w:pPr>
      <w:rPr>
        <w:rFonts w:hint="default" w:ascii="Wingdings" w:hAnsi="Wingdings"/>
      </w:rPr>
    </w:lvl>
    <w:lvl w:ilvl="3">
      <w:start w:val="1"/>
      <w:numFmt w:val="bullet"/>
      <w:isLgl w:val="false"/>
      <w:suff w:val="tab"/>
      <w:lvlText w:val=""/>
      <w:lvlJc w:val="left"/>
      <w:pPr>
        <w:ind w:left="3420" w:hanging="360"/>
      </w:pPr>
      <w:rPr>
        <w:rFonts w:hint="default" w:ascii="Symbol" w:hAnsi="Symbol"/>
      </w:rPr>
    </w:lvl>
    <w:lvl w:ilvl="4">
      <w:start w:val="1"/>
      <w:numFmt w:val="bullet"/>
      <w:isLgl w:val="false"/>
      <w:suff w:val="tab"/>
      <w:lvlText w:val="o"/>
      <w:lvlJc w:val="left"/>
      <w:pPr>
        <w:ind w:left="4140" w:hanging="360"/>
      </w:pPr>
      <w:rPr>
        <w:rFonts w:hint="default" w:ascii="Courier New" w:hAnsi="Courier New" w:cs="Courier New"/>
      </w:rPr>
    </w:lvl>
    <w:lvl w:ilvl="5">
      <w:start w:val="1"/>
      <w:numFmt w:val="bullet"/>
      <w:isLgl w:val="false"/>
      <w:suff w:val="tab"/>
      <w:lvlText w:val=""/>
      <w:lvlJc w:val="left"/>
      <w:pPr>
        <w:ind w:left="4860" w:hanging="360"/>
      </w:pPr>
      <w:rPr>
        <w:rFonts w:hint="default" w:ascii="Wingdings" w:hAnsi="Wingdings"/>
      </w:rPr>
    </w:lvl>
    <w:lvl w:ilvl="6">
      <w:start w:val="1"/>
      <w:numFmt w:val="bullet"/>
      <w:isLgl w:val="false"/>
      <w:suff w:val="tab"/>
      <w:lvlText w:val=""/>
      <w:lvlJc w:val="left"/>
      <w:pPr>
        <w:ind w:left="5580" w:hanging="360"/>
      </w:pPr>
      <w:rPr>
        <w:rFonts w:hint="default" w:ascii="Symbol" w:hAnsi="Symbol"/>
      </w:rPr>
    </w:lvl>
    <w:lvl w:ilvl="7">
      <w:start w:val="1"/>
      <w:numFmt w:val="bullet"/>
      <w:isLgl w:val="false"/>
      <w:suff w:val="tab"/>
      <w:lvlText w:val="o"/>
      <w:lvlJc w:val="left"/>
      <w:pPr>
        <w:ind w:left="6300" w:hanging="360"/>
      </w:pPr>
      <w:rPr>
        <w:rFonts w:hint="default" w:ascii="Courier New" w:hAnsi="Courier New" w:cs="Courier New"/>
      </w:rPr>
    </w:lvl>
    <w:lvl w:ilvl="8">
      <w:start w:val="1"/>
      <w:numFmt w:val="bullet"/>
      <w:isLgl w:val="false"/>
      <w:suff w:val="tab"/>
      <w:lvlText w:val=""/>
      <w:lvlJc w:val="left"/>
      <w:pPr>
        <w:ind w:left="7020" w:hanging="360"/>
      </w:pPr>
      <w:rPr>
        <w:rFonts w:hint="default" w:ascii="Wingdings" w:hAnsi="Wingdings"/>
      </w:rPr>
    </w:lvl>
  </w:abstractNum>
  <w:abstractNum w:abstractNumId="29">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30">
    <w:multiLevelType w:val="hybridMultilevel"/>
    <w:lvl w:ilvl="0">
      <w:start w:val="1"/>
      <w:numFmt w:val="decimal"/>
      <w:isLgl w:val="false"/>
      <w:suff w:val="tab"/>
      <w:lvlText w:val="%1."/>
      <w:lvlJc w:val="left"/>
      <w:pPr>
        <w:ind w:left="1069" w:hanging="360"/>
      </w:pPr>
      <w:rPr>
        <w:rFonts w:hint="default" w:eastAsia="Times New Roman"/>
        <w:color w:val="000000"/>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31">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32">
    <w:multiLevelType w:val="hybridMultilevel"/>
    <w:lvl w:ilvl="0">
      <w:start w:val="1"/>
      <w:numFmt w:val="bullet"/>
      <w:isLgl w:val="false"/>
      <w:suff w:val="tab"/>
      <w:lvlText w:val=""/>
      <w:lvlJc w:val="left"/>
      <w:pPr>
        <w:ind w:left="720" w:hanging="360"/>
        <w:tabs>
          <w:tab w:val="num" w:pos="720" w:leader="none"/>
        </w:tabs>
      </w:pPr>
      <w:rPr>
        <w:rFonts w:hint="default" w:ascii="Symbol" w:hAnsi="Symbol"/>
        <w:sz w:val="20"/>
      </w:rPr>
    </w:lvl>
    <w:lvl w:ilvl="1">
      <w:start w:val="1"/>
      <w:numFmt w:val="bullet"/>
      <w:isLgl w:val="false"/>
      <w:suff w:val="tab"/>
      <w:lvlText w:val="o"/>
      <w:lvlJc w:val="left"/>
      <w:pPr>
        <w:ind w:left="1440" w:hanging="360"/>
        <w:tabs>
          <w:tab w:val="num" w:pos="1440" w:leader="none"/>
        </w:tabs>
      </w:pPr>
      <w:rPr>
        <w:rFonts w:hint="default" w:ascii="Courier New" w:hAnsi="Courier New"/>
        <w:sz w:val="20"/>
      </w:rPr>
    </w:lvl>
    <w:lvl w:ilvl="2">
      <w:start w:val="1"/>
      <w:numFmt w:val="bullet"/>
      <w:isLgl w:val="false"/>
      <w:suff w:val="tab"/>
      <w:lvlText w:val=""/>
      <w:lvlJc w:val="left"/>
      <w:pPr>
        <w:ind w:left="2160" w:hanging="360"/>
        <w:tabs>
          <w:tab w:val="num" w:pos="2160" w:leader="none"/>
        </w:tabs>
      </w:pPr>
      <w:rPr>
        <w:rFonts w:hint="default" w:ascii="Wingdings" w:hAnsi="Wingdings"/>
        <w:sz w:val="20"/>
      </w:rPr>
    </w:lvl>
    <w:lvl w:ilvl="3">
      <w:start w:val="1"/>
      <w:numFmt w:val="bullet"/>
      <w:isLgl w:val="false"/>
      <w:suff w:val="tab"/>
      <w:lvlText w:val=""/>
      <w:lvlJc w:val="left"/>
      <w:pPr>
        <w:ind w:left="2880" w:hanging="360"/>
        <w:tabs>
          <w:tab w:val="num" w:pos="2880" w:leader="none"/>
        </w:tabs>
      </w:pPr>
      <w:rPr>
        <w:rFonts w:hint="default" w:ascii="Wingdings" w:hAnsi="Wingdings"/>
        <w:sz w:val="20"/>
      </w:rPr>
    </w:lvl>
    <w:lvl w:ilvl="4">
      <w:start w:val="1"/>
      <w:numFmt w:val="bullet"/>
      <w:isLgl w:val="false"/>
      <w:suff w:val="tab"/>
      <w:lvlText w:val=""/>
      <w:lvlJc w:val="left"/>
      <w:pPr>
        <w:ind w:left="3600" w:hanging="360"/>
        <w:tabs>
          <w:tab w:val="num" w:pos="3600" w:leader="none"/>
        </w:tabs>
      </w:pPr>
      <w:rPr>
        <w:rFonts w:hint="default" w:ascii="Wingdings" w:hAnsi="Wingdings"/>
        <w:sz w:val="20"/>
      </w:rPr>
    </w:lvl>
    <w:lvl w:ilvl="5">
      <w:start w:val="1"/>
      <w:numFmt w:val="bullet"/>
      <w:isLgl w:val="false"/>
      <w:suff w:val="tab"/>
      <w:lvlText w:val=""/>
      <w:lvlJc w:val="left"/>
      <w:pPr>
        <w:ind w:left="4320" w:hanging="360"/>
        <w:tabs>
          <w:tab w:val="num" w:pos="4320" w:leader="none"/>
        </w:tabs>
      </w:pPr>
      <w:rPr>
        <w:rFonts w:hint="default" w:ascii="Wingdings" w:hAnsi="Wingdings"/>
        <w:sz w:val="20"/>
      </w:rPr>
    </w:lvl>
    <w:lvl w:ilvl="6">
      <w:start w:val="1"/>
      <w:numFmt w:val="bullet"/>
      <w:isLgl w:val="false"/>
      <w:suff w:val="tab"/>
      <w:lvlText w:val=""/>
      <w:lvlJc w:val="left"/>
      <w:pPr>
        <w:ind w:left="5040" w:hanging="360"/>
        <w:tabs>
          <w:tab w:val="num" w:pos="5040" w:leader="none"/>
        </w:tabs>
      </w:pPr>
      <w:rPr>
        <w:rFonts w:hint="default" w:ascii="Wingdings" w:hAnsi="Wingdings"/>
        <w:sz w:val="20"/>
      </w:rPr>
    </w:lvl>
    <w:lvl w:ilvl="7">
      <w:start w:val="1"/>
      <w:numFmt w:val="bullet"/>
      <w:isLgl w:val="false"/>
      <w:suff w:val="tab"/>
      <w:lvlText w:val=""/>
      <w:lvlJc w:val="left"/>
      <w:pPr>
        <w:ind w:left="5760" w:hanging="360"/>
        <w:tabs>
          <w:tab w:val="num" w:pos="5760" w:leader="none"/>
        </w:tabs>
      </w:pPr>
      <w:rPr>
        <w:rFonts w:hint="default" w:ascii="Wingdings" w:hAnsi="Wingdings"/>
        <w:sz w:val="20"/>
      </w:rPr>
    </w:lvl>
    <w:lvl w:ilvl="8">
      <w:start w:val="1"/>
      <w:numFmt w:val="bullet"/>
      <w:isLgl w:val="false"/>
      <w:suff w:val="tab"/>
      <w:lvlText w:val=""/>
      <w:lvlJc w:val="left"/>
      <w:pPr>
        <w:ind w:left="6480" w:hanging="360"/>
        <w:tabs>
          <w:tab w:val="num" w:pos="6480" w:leader="none"/>
        </w:tabs>
      </w:pPr>
      <w:rPr>
        <w:rFonts w:hint="default" w:ascii="Wingdings" w:hAnsi="Wingdings"/>
        <w:sz w:val="20"/>
      </w:rPr>
    </w:lvl>
  </w:abstractNum>
  <w:abstractNum w:abstractNumId="33">
    <w:multiLevelType w:val="hybridMultilevel"/>
    <w:lvl w:ilvl="0">
      <w:start w:val="1"/>
      <w:numFmt w:val="decimal"/>
      <w:isLgl w:val="false"/>
      <w:suff w:val="tab"/>
      <w:lvlText w:val="%1."/>
      <w:lvlJc w:val="left"/>
      <w:pPr>
        <w:ind w:left="1069" w:hanging="360"/>
      </w:pPr>
      <w:rPr>
        <w:rFonts w:hint="default"/>
        <w:b/>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34">
    <w:multiLevelType w:val="hybridMultilevel"/>
    <w:lvl w:ilvl="0">
      <w:start w:val="1"/>
      <w:numFmt w:val="decimal"/>
      <w:isLgl w:val="false"/>
      <w:suff w:val="tab"/>
      <w:lvlText w:val="%1."/>
      <w:lvlJc w:val="left"/>
      <w:pPr>
        <w:ind w:left="1069" w:hanging="360"/>
      </w:pPr>
      <w:rPr>
        <w:rFonts w:hint="default"/>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35">
    <w:multiLevelType w:val="hybridMultilevel"/>
    <w:lvl w:ilvl="0">
      <w:start w:val="1"/>
      <w:numFmt w:val="decimal"/>
      <w:isLgl w:val="false"/>
      <w:suff w:val="tab"/>
      <w:lvlText w:val="%1."/>
      <w:lvlJc w:val="left"/>
      <w:pPr>
        <w:ind w:left="1068" w:hanging="360"/>
      </w:pPr>
      <w:rPr>
        <w:rFonts w:hint="default"/>
        <w:color w:val="000000"/>
      </w:rPr>
    </w:lvl>
    <w:lvl w:ilvl="1">
      <w:start w:val="1"/>
      <w:numFmt w:val="lowerLetter"/>
      <w:isLgl w:val="false"/>
      <w:suff w:val="tab"/>
      <w:lvlText w:val="%2."/>
      <w:lvlJc w:val="left"/>
      <w:pPr>
        <w:ind w:left="1788" w:hanging="360"/>
      </w:pPr>
    </w:lvl>
    <w:lvl w:ilvl="2">
      <w:start w:val="1"/>
      <w:numFmt w:val="lowerRoman"/>
      <w:isLgl w:val="false"/>
      <w:suff w:val="tab"/>
      <w:lvlText w:val="%3."/>
      <w:lvlJc w:val="right"/>
      <w:pPr>
        <w:ind w:left="2508" w:hanging="180"/>
      </w:pPr>
    </w:lvl>
    <w:lvl w:ilvl="3">
      <w:start w:val="1"/>
      <w:numFmt w:val="decimal"/>
      <w:isLgl w:val="false"/>
      <w:suff w:val="tab"/>
      <w:lvlText w:val="%4."/>
      <w:lvlJc w:val="left"/>
      <w:pPr>
        <w:ind w:left="3228" w:hanging="360"/>
      </w:pPr>
    </w:lvl>
    <w:lvl w:ilvl="4">
      <w:start w:val="1"/>
      <w:numFmt w:val="lowerLetter"/>
      <w:isLgl w:val="false"/>
      <w:suff w:val="tab"/>
      <w:lvlText w:val="%5."/>
      <w:lvlJc w:val="left"/>
      <w:pPr>
        <w:ind w:left="3948" w:hanging="360"/>
      </w:pPr>
    </w:lvl>
    <w:lvl w:ilvl="5">
      <w:start w:val="1"/>
      <w:numFmt w:val="lowerRoman"/>
      <w:isLgl w:val="false"/>
      <w:suff w:val="tab"/>
      <w:lvlText w:val="%6."/>
      <w:lvlJc w:val="right"/>
      <w:pPr>
        <w:ind w:left="4668" w:hanging="180"/>
      </w:pPr>
    </w:lvl>
    <w:lvl w:ilvl="6">
      <w:start w:val="1"/>
      <w:numFmt w:val="decimal"/>
      <w:isLgl w:val="false"/>
      <w:suff w:val="tab"/>
      <w:lvlText w:val="%7."/>
      <w:lvlJc w:val="left"/>
      <w:pPr>
        <w:ind w:left="5388" w:hanging="360"/>
      </w:pPr>
    </w:lvl>
    <w:lvl w:ilvl="7">
      <w:start w:val="1"/>
      <w:numFmt w:val="lowerLetter"/>
      <w:isLgl w:val="false"/>
      <w:suff w:val="tab"/>
      <w:lvlText w:val="%8."/>
      <w:lvlJc w:val="left"/>
      <w:pPr>
        <w:ind w:left="6108" w:hanging="360"/>
      </w:pPr>
    </w:lvl>
    <w:lvl w:ilvl="8">
      <w:start w:val="1"/>
      <w:numFmt w:val="lowerRoman"/>
      <w:isLgl w:val="false"/>
      <w:suff w:val="tab"/>
      <w:lvlText w:val="%9."/>
      <w:lvlJc w:val="right"/>
      <w:pPr>
        <w:ind w:left="6828" w:hanging="180"/>
      </w:pPr>
    </w:lvl>
  </w:abstractNum>
  <w:abstractNum w:abstractNumId="36">
    <w:multiLevelType w:val="hybridMultilevel"/>
    <w:lvl w:ilvl="0">
      <w:start w:val="1"/>
      <w:numFmt w:val="decimal"/>
      <w:isLgl w:val="false"/>
      <w:suff w:val="tab"/>
      <w:lvlText w:val="%1."/>
      <w:lvlJc w:val="left"/>
      <w:pPr>
        <w:ind w:left="1779"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7">
    <w:multiLevelType w:val="hybridMultilevel"/>
    <w:lvl w:ilvl="0">
      <w:start w:val="1"/>
      <w:numFmt w:val="decimal"/>
      <w:isLgl w:val="false"/>
      <w:suff w:val="tab"/>
      <w:lvlText w:val="%1."/>
      <w:lvlJc w:val="left"/>
      <w:pPr>
        <w:ind w:left="1144" w:hanging="435"/>
      </w:pPr>
      <w:rPr>
        <w:color w:val="000000"/>
      </w:rPr>
    </w:lvl>
    <w:lvl w:ilvl="1">
      <w:start w:val="1"/>
      <w:numFmt w:val="lowerLetter"/>
      <w:isLgl w:val="false"/>
      <w:suff w:val="tab"/>
      <w:lvlText w:val="%2."/>
      <w:lvlJc w:val="left"/>
      <w:pPr>
        <w:ind w:left="1789" w:hanging="360"/>
      </w:pPr>
    </w:lvl>
    <w:lvl w:ilvl="2">
      <w:start w:val="1"/>
      <w:numFmt w:val="lowerRoman"/>
      <w:isLgl w:val="false"/>
      <w:suff w:val="tab"/>
      <w:lvlText w:val="%3."/>
      <w:lvlJc w:val="right"/>
      <w:pPr>
        <w:ind w:left="2509" w:hanging="180"/>
      </w:pPr>
    </w:lvl>
    <w:lvl w:ilvl="3">
      <w:start w:val="1"/>
      <w:numFmt w:val="decimal"/>
      <w:isLgl w:val="false"/>
      <w:suff w:val="tab"/>
      <w:lvlText w:val="%4."/>
      <w:lvlJc w:val="left"/>
      <w:pPr>
        <w:ind w:left="3229" w:hanging="360"/>
      </w:pPr>
    </w:lvl>
    <w:lvl w:ilvl="4">
      <w:start w:val="1"/>
      <w:numFmt w:val="lowerLetter"/>
      <w:isLgl w:val="false"/>
      <w:suff w:val="tab"/>
      <w:lvlText w:val="%5."/>
      <w:lvlJc w:val="left"/>
      <w:pPr>
        <w:ind w:left="3949" w:hanging="360"/>
      </w:pPr>
    </w:lvl>
    <w:lvl w:ilvl="5">
      <w:start w:val="1"/>
      <w:numFmt w:val="lowerRoman"/>
      <w:isLgl w:val="false"/>
      <w:suff w:val="tab"/>
      <w:lvlText w:val="%6."/>
      <w:lvlJc w:val="right"/>
      <w:pPr>
        <w:ind w:left="4669" w:hanging="180"/>
      </w:pPr>
    </w:lvl>
    <w:lvl w:ilvl="6">
      <w:start w:val="1"/>
      <w:numFmt w:val="decimal"/>
      <w:isLgl w:val="false"/>
      <w:suff w:val="tab"/>
      <w:lvlText w:val="%7."/>
      <w:lvlJc w:val="left"/>
      <w:pPr>
        <w:ind w:left="5389" w:hanging="360"/>
      </w:pPr>
    </w:lvl>
    <w:lvl w:ilvl="7">
      <w:start w:val="1"/>
      <w:numFmt w:val="lowerLetter"/>
      <w:isLgl w:val="false"/>
      <w:suff w:val="tab"/>
      <w:lvlText w:val="%8."/>
      <w:lvlJc w:val="left"/>
      <w:pPr>
        <w:ind w:left="6109" w:hanging="360"/>
      </w:pPr>
    </w:lvl>
    <w:lvl w:ilvl="8">
      <w:start w:val="1"/>
      <w:numFmt w:val="lowerRoman"/>
      <w:isLgl w:val="false"/>
      <w:suff w:val="tab"/>
      <w:lvlText w:val="%9."/>
      <w:lvlJc w:val="right"/>
      <w:pPr>
        <w:ind w:left="6829" w:hanging="180"/>
      </w:pPr>
    </w:lvl>
  </w:abstractNum>
  <w:abstractNum w:abstractNumId="38">
    <w:multiLevelType w:val="hybridMultilevel"/>
    <w:lvl w:ilvl="0">
      <w:start w:val="1"/>
      <w:numFmt w:val="decimal"/>
      <w:isLgl w:val="false"/>
      <w:suff w:val="tab"/>
      <w:lvlText w:val="%1."/>
      <w:lvlJc w:val="left"/>
      <w:pPr>
        <w:ind w:left="615" w:hanging="615"/>
      </w:pPr>
    </w:lvl>
    <w:lvl w:ilvl="1">
      <w:start w:val="1"/>
      <w:numFmt w:val="decimal"/>
      <w:isLgl w:val="false"/>
      <w:suff w:val="tab"/>
      <w:lvlText w:val="%2."/>
      <w:lvlJc w:val="left"/>
      <w:pPr>
        <w:ind w:left="1951" w:hanging="720"/>
      </w:pPr>
      <w:rPr>
        <w:rFonts w:ascii="Times New Roman" w:hAnsi="Times New Roman" w:eastAsia="Calibri" w:cs="Times New Roman"/>
      </w:rPr>
    </w:lvl>
    <w:lvl w:ilvl="2">
      <w:start w:val="1"/>
      <w:numFmt w:val="decimal"/>
      <w:isLgl w:val="false"/>
      <w:suff w:val="tab"/>
      <w:lvlText w:val="%1.%2.%3."/>
      <w:lvlJc w:val="left"/>
      <w:pPr>
        <w:ind w:left="3182" w:hanging="720"/>
      </w:pPr>
    </w:lvl>
    <w:lvl w:ilvl="3">
      <w:start w:val="1"/>
      <w:numFmt w:val="decimal"/>
      <w:isLgl w:val="false"/>
      <w:suff w:val="tab"/>
      <w:lvlText w:val="%1.%2.%3.%4."/>
      <w:lvlJc w:val="left"/>
      <w:pPr>
        <w:ind w:left="4773" w:hanging="1080"/>
      </w:pPr>
    </w:lvl>
    <w:lvl w:ilvl="4">
      <w:start w:val="1"/>
      <w:numFmt w:val="decimal"/>
      <w:isLgl w:val="false"/>
      <w:suff w:val="tab"/>
      <w:lvlText w:val="%1.%2.%3.%4.%5."/>
      <w:lvlJc w:val="left"/>
      <w:pPr>
        <w:ind w:left="6004" w:hanging="1080"/>
      </w:pPr>
    </w:lvl>
    <w:lvl w:ilvl="5">
      <w:start w:val="1"/>
      <w:numFmt w:val="decimal"/>
      <w:isLgl w:val="false"/>
      <w:suff w:val="tab"/>
      <w:lvlText w:val="%1.%2.%3.%4.%5.%6."/>
      <w:lvlJc w:val="left"/>
      <w:pPr>
        <w:ind w:left="7595" w:hanging="1440"/>
      </w:pPr>
    </w:lvl>
    <w:lvl w:ilvl="6">
      <w:start w:val="1"/>
      <w:numFmt w:val="decimal"/>
      <w:isLgl w:val="false"/>
      <w:suff w:val="tab"/>
      <w:lvlText w:val="%1.%2.%3.%4.%5.%6.%7."/>
      <w:lvlJc w:val="left"/>
      <w:pPr>
        <w:ind w:left="9186" w:hanging="1800"/>
      </w:pPr>
    </w:lvl>
    <w:lvl w:ilvl="7">
      <w:start w:val="1"/>
      <w:numFmt w:val="decimal"/>
      <w:isLgl w:val="false"/>
      <w:suff w:val="tab"/>
      <w:lvlText w:val="%1.%2.%3.%4.%5.%6.%7.%8."/>
      <w:lvlJc w:val="left"/>
      <w:pPr>
        <w:ind w:left="10417" w:hanging="1800"/>
      </w:pPr>
    </w:lvl>
    <w:lvl w:ilvl="8">
      <w:start w:val="1"/>
      <w:numFmt w:val="decimal"/>
      <w:isLgl w:val="false"/>
      <w:suff w:val="tab"/>
      <w:lvlText w:val="%1.%2.%3.%4.%5.%6.%7.%8.%9."/>
      <w:lvlJc w:val="left"/>
      <w:pPr>
        <w:ind w:left="12008" w:hanging="2160"/>
      </w:pPr>
    </w:lvl>
  </w:abstractNum>
  <w:abstractNum w:abstractNumId="39">
    <w:multiLevelType w:val="hybridMultilevel"/>
    <w:lvl w:ilvl="0">
      <w:start w:val="1"/>
      <w:numFmt w:val="decimal"/>
      <w:isLgl w:val="false"/>
      <w:suff w:val="tab"/>
      <w:lvlText w:val="%1)"/>
      <w:lvlJc w:val="left"/>
      <w:pPr>
        <w:ind w:left="1637" w:hanging="360"/>
      </w:pPr>
    </w:lvl>
    <w:lvl w:ilvl="1">
      <w:start w:val="1"/>
      <w:numFmt w:val="lowerLetter"/>
      <w:isLgl w:val="false"/>
      <w:suff w:val="tab"/>
      <w:lvlText w:val="%2."/>
      <w:lvlJc w:val="left"/>
      <w:pPr>
        <w:ind w:left="2149" w:hanging="360"/>
      </w:pPr>
    </w:lvl>
    <w:lvl w:ilvl="2">
      <w:start w:val="1"/>
      <w:numFmt w:val="lowerRoman"/>
      <w:isLgl w:val="false"/>
      <w:suff w:val="tab"/>
      <w:lvlText w:val="%3."/>
      <w:lvlJc w:val="right"/>
      <w:pPr>
        <w:ind w:left="2869" w:hanging="180"/>
      </w:pPr>
    </w:lvl>
    <w:lvl w:ilvl="3">
      <w:start w:val="1"/>
      <w:numFmt w:val="decimal"/>
      <w:isLgl w:val="false"/>
      <w:suff w:val="tab"/>
      <w:lvlText w:val="%4."/>
      <w:lvlJc w:val="left"/>
      <w:pPr>
        <w:ind w:left="3589" w:hanging="360"/>
      </w:pPr>
    </w:lvl>
    <w:lvl w:ilvl="4">
      <w:start w:val="1"/>
      <w:numFmt w:val="lowerLetter"/>
      <w:isLgl w:val="false"/>
      <w:suff w:val="tab"/>
      <w:lvlText w:val="%5."/>
      <w:lvlJc w:val="left"/>
      <w:pPr>
        <w:ind w:left="4309" w:hanging="360"/>
      </w:pPr>
    </w:lvl>
    <w:lvl w:ilvl="5">
      <w:start w:val="1"/>
      <w:numFmt w:val="lowerRoman"/>
      <w:isLgl w:val="false"/>
      <w:suff w:val="tab"/>
      <w:lvlText w:val="%6."/>
      <w:lvlJc w:val="right"/>
      <w:pPr>
        <w:ind w:left="5029" w:hanging="180"/>
      </w:pPr>
    </w:lvl>
    <w:lvl w:ilvl="6">
      <w:start w:val="1"/>
      <w:numFmt w:val="decimal"/>
      <w:isLgl w:val="false"/>
      <w:suff w:val="tab"/>
      <w:lvlText w:val="%7."/>
      <w:lvlJc w:val="left"/>
      <w:pPr>
        <w:ind w:left="5749" w:hanging="360"/>
      </w:pPr>
    </w:lvl>
    <w:lvl w:ilvl="7">
      <w:start w:val="1"/>
      <w:numFmt w:val="lowerLetter"/>
      <w:isLgl w:val="false"/>
      <w:suff w:val="tab"/>
      <w:lvlText w:val="%8."/>
      <w:lvlJc w:val="left"/>
      <w:pPr>
        <w:ind w:left="6469" w:hanging="360"/>
      </w:pPr>
    </w:lvl>
    <w:lvl w:ilvl="8">
      <w:start w:val="1"/>
      <w:numFmt w:val="lowerRoman"/>
      <w:isLgl w:val="false"/>
      <w:suff w:val="tab"/>
      <w:lvlText w:val="%9."/>
      <w:lvlJc w:val="right"/>
      <w:pPr>
        <w:ind w:left="7189" w:hanging="180"/>
      </w:pPr>
    </w:lvl>
  </w:abstractNum>
  <w:num w:numId="1">
    <w:abstractNumId w:val="8"/>
  </w:num>
  <w:num w:numId="2">
    <w:abstractNumId w:val="26"/>
  </w:num>
  <w:num w:numId="3">
    <w:abstractNumId w:val="30"/>
  </w:num>
  <w:num w:numId="4">
    <w:abstractNumId w:val="16"/>
  </w:num>
  <w:num w:numId="5">
    <w:abstractNumId w:val="28"/>
  </w:num>
  <w:num w:numId="6">
    <w:abstractNumId w:val="21"/>
  </w:num>
  <w:num w:numId="7">
    <w:abstractNumId w:val="17"/>
  </w:num>
  <w:num w:numId="8">
    <w:abstractNumId w:val="14"/>
  </w:num>
  <w:num w:numId="9">
    <w:abstractNumId w:val="35"/>
  </w:num>
  <w:num w:numId="10">
    <w:abstractNumId w:val="19"/>
  </w:num>
  <w:num w:numId="11">
    <w:abstractNumId w:val="11"/>
  </w:num>
  <w:num w:numId="12">
    <w:abstractNumId w:val="33"/>
  </w:num>
  <w:num w:numId="13">
    <w:abstractNumId w:val="3"/>
  </w:num>
  <w:num w:numId="14">
    <w:abstractNumId w:val="1"/>
  </w:num>
  <w:num w:numId="15">
    <w:abstractNumId w:val="5"/>
  </w:num>
  <w:num w:numId="16">
    <w:abstractNumId w:val="12"/>
  </w:num>
  <w:num w:numId="17">
    <w:abstractNumId w:val="24"/>
  </w:num>
  <w:num w:numId="18">
    <w:abstractNumId w:val="25"/>
  </w:num>
  <w:num w:numId="19">
    <w:abstractNumId w:val="22"/>
  </w:num>
  <w:num w:numId="20">
    <w:abstractNumId w:val="20"/>
  </w:num>
  <w:num w:numId="21">
    <w:abstractNumId w:val="31"/>
  </w:num>
  <w:num w:numId="22">
    <w:abstractNumId w:val="32"/>
  </w:num>
  <w:num w:numId="23">
    <w:abstractNumId w:val="2"/>
  </w:num>
  <w:num w:numId="24">
    <w:abstractNumId w:val="10"/>
  </w:num>
  <w:num w:numId="25">
    <w:abstractNumId w:val="6"/>
  </w:num>
  <w:num w:numId="26">
    <w:abstractNumId w:val="13"/>
  </w:num>
  <w:num w:numId="27">
    <w:abstractNumId w:val="7"/>
  </w:num>
  <w:num w:numId="28">
    <w:abstractNumId w:val="23"/>
  </w:num>
  <w:num w:numId="29">
    <w:abstractNumId w:val="4"/>
  </w:num>
  <w:num w:numId="30">
    <w:abstractNumId w:val="34"/>
  </w:num>
  <w:num w:numId="31">
    <w:abstractNumId w:val="29"/>
  </w:num>
  <w:num w:numId="32">
    <w:abstractNumId w:val="27"/>
  </w:num>
  <w:num w:numId="33">
    <w:abstractNumId w:val="15"/>
  </w:num>
  <w:num w:numId="34">
    <w:abstractNumId w:val="9"/>
  </w:num>
  <w:num w:numId="35">
    <w:abstractNumId w:val="0"/>
  </w:num>
  <w:num w:numId="36">
    <w:abstractNumId w:val="18"/>
  </w:num>
  <w:num w:numId="37">
    <w:abstractNumId w:val="36"/>
  </w:num>
  <w:num w:numId="38">
    <w:abstractNumId w:val="37"/>
  </w:num>
  <w:num w:numId="39">
    <w:abstractNumId w:val="38"/>
  </w:num>
  <w:num w:numId="40">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8"/>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heme="minorHAnsi" w:hAnsiTheme="minorHAnsi" w:eastAsiaTheme="minorHAnsi" w:cstheme="minorBidi"/>
        <w:sz w:val="22"/>
        <w:szCs w:val="22"/>
        <w:lang w:val="ru-RU" w:eastAsia="en-US" w:bidi="ar-SA"/>
      </w:rPr>
    </w:rPrDefault>
    <w:pPrDefault>
      <w:pPr>
        <w:spacing w:before="0" w:beforeAutospacing="0" w:after="200" w:afterAutospacing="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787">
    <w:name w:val="Heading 1 Char"/>
    <w:basedOn w:val="958"/>
    <w:link w:val="955"/>
    <w:uiPriority w:val="9"/>
    <w:rPr>
      <w:rFonts w:ascii="Arial" w:hAnsi="Arial" w:eastAsia="Arial" w:cs="Arial"/>
      <w:sz w:val="40"/>
      <w:szCs w:val="40"/>
    </w:rPr>
  </w:style>
  <w:style w:type="character" w:styleId="788">
    <w:name w:val="Heading 2 Char"/>
    <w:basedOn w:val="958"/>
    <w:link w:val="956"/>
    <w:uiPriority w:val="9"/>
    <w:rPr>
      <w:rFonts w:ascii="Arial" w:hAnsi="Arial" w:eastAsia="Arial" w:cs="Arial"/>
      <w:sz w:val="34"/>
    </w:rPr>
  </w:style>
  <w:style w:type="character" w:styleId="789">
    <w:name w:val="Heading 3 Char"/>
    <w:basedOn w:val="958"/>
    <w:link w:val="957"/>
    <w:uiPriority w:val="9"/>
    <w:rPr>
      <w:rFonts w:ascii="Arial" w:hAnsi="Arial" w:eastAsia="Arial" w:cs="Arial"/>
      <w:sz w:val="30"/>
      <w:szCs w:val="30"/>
    </w:rPr>
  </w:style>
  <w:style w:type="paragraph" w:styleId="790">
    <w:name w:val="Heading 4"/>
    <w:basedOn w:val="954"/>
    <w:next w:val="954"/>
    <w:link w:val="791"/>
    <w:uiPriority w:val="9"/>
    <w:unhideWhenUsed/>
    <w:qFormat/>
    <w:pPr>
      <w:keepLines/>
      <w:keepNext/>
      <w:spacing w:before="320" w:after="200"/>
      <w:outlineLvl w:val="3"/>
    </w:pPr>
    <w:rPr>
      <w:rFonts w:ascii="Arial" w:hAnsi="Arial" w:eastAsia="Arial" w:cs="Arial"/>
      <w:b/>
      <w:bCs/>
      <w:sz w:val="26"/>
      <w:szCs w:val="26"/>
    </w:rPr>
  </w:style>
  <w:style w:type="character" w:styleId="791">
    <w:name w:val="Heading 4 Char"/>
    <w:basedOn w:val="958"/>
    <w:link w:val="790"/>
    <w:uiPriority w:val="9"/>
    <w:rPr>
      <w:rFonts w:ascii="Arial" w:hAnsi="Arial" w:eastAsia="Arial" w:cs="Arial"/>
      <w:b/>
      <w:bCs/>
      <w:sz w:val="26"/>
      <w:szCs w:val="26"/>
    </w:rPr>
  </w:style>
  <w:style w:type="paragraph" w:styleId="792">
    <w:name w:val="Heading 5"/>
    <w:basedOn w:val="954"/>
    <w:next w:val="954"/>
    <w:link w:val="793"/>
    <w:uiPriority w:val="9"/>
    <w:unhideWhenUsed/>
    <w:qFormat/>
    <w:pPr>
      <w:keepLines/>
      <w:keepNext/>
      <w:spacing w:before="320" w:after="200"/>
      <w:outlineLvl w:val="4"/>
    </w:pPr>
    <w:rPr>
      <w:rFonts w:ascii="Arial" w:hAnsi="Arial" w:eastAsia="Arial" w:cs="Arial"/>
      <w:b/>
      <w:bCs/>
      <w:sz w:val="24"/>
      <w:szCs w:val="24"/>
    </w:rPr>
  </w:style>
  <w:style w:type="character" w:styleId="793">
    <w:name w:val="Heading 5 Char"/>
    <w:basedOn w:val="958"/>
    <w:link w:val="792"/>
    <w:uiPriority w:val="9"/>
    <w:rPr>
      <w:rFonts w:ascii="Arial" w:hAnsi="Arial" w:eastAsia="Arial" w:cs="Arial"/>
      <w:b/>
      <w:bCs/>
      <w:sz w:val="24"/>
      <w:szCs w:val="24"/>
    </w:rPr>
  </w:style>
  <w:style w:type="paragraph" w:styleId="794">
    <w:name w:val="Heading 6"/>
    <w:basedOn w:val="954"/>
    <w:next w:val="954"/>
    <w:link w:val="795"/>
    <w:uiPriority w:val="9"/>
    <w:unhideWhenUsed/>
    <w:qFormat/>
    <w:pPr>
      <w:keepLines/>
      <w:keepNext/>
      <w:spacing w:before="320" w:after="200"/>
      <w:outlineLvl w:val="5"/>
    </w:pPr>
    <w:rPr>
      <w:rFonts w:ascii="Arial" w:hAnsi="Arial" w:eastAsia="Arial" w:cs="Arial"/>
      <w:b/>
      <w:bCs/>
      <w:sz w:val="22"/>
      <w:szCs w:val="22"/>
    </w:rPr>
  </w:style>
  <w:style w:type="character" w:styleId="795">
    <w:name w:val="Heading 6 Char"/>
    <w:basedOn w:val="958"/>
    <w:link w:val="794"/>
    <w:uiPriority w:val="9"/>
    <w:rPr>
      <w:rFonts w:ascii="Arial" w:hAnsi="Arial" w:eastAsia="Arial" w:cs="Arial"/>
      <w:b/>
      <w:bCs/>
      <w:sz w:val="22"/>
      <w:szCs w:val="22"/>
    </w:rPr>
  </w:style>
  <w:style w:type="paragraph" w:styleId="796">
    <w:name w:val="Heading 7"/>
    <w:basedOn w:val="954"/>
    <w:next w:val="954"/>
    <w:link w:val="797"/>
    <w:uiPriority w:val="9"/>
    <w:unhideWhenUsed/>
    <w:qFormat/>
    <w:pPr>
      <w:keepLines/>
      <w:keepNext/>
      <w:spacing w:before="320" w:after="200"/>
      <w:outlineLvl w:val="6"/>
    </w:pPr>
    <w:rPr>
      <w:rFonts w:ascii="Arial" w:hAnsi="Arial" w:eastAsia="Arial" w:cs="Arial"/>
      <w:b/>
      <w:bCs/>
      <w:i/>
      <w:iCs/>
      <w:sz w:val="22"/>
      <w:szCs w:val="22"/>
    </w:rPr>
  </w:style>
  <w:style w:type="character" w:styleId="797">
    <w:name w:val="Heading 7 Char"/>
    <w:basedOn w:val="958"/>
    <w:link w:val="796"/>
    <w:uiPriority w:val="9"/>
    <w:rPr>
      <w:rFonts w:ascii="Arial" w:hAnsi="Arial" w:eastAsia="Arial" w:cs="Arial"/>
      <w:b/>
      <w:bCs/>
      <w:i/>
      <w:iCs/>
      <w:sz w:val="22"/>
      <w:szCs w:val="22"/>
    </w:rPr>
  </w:style>
  <w:style w:type="paragraph" w:styleId="798">
    <w:name w:val="Heading 8"/>
    <w:basedOn w:val="954"/>
    <w:next w:val="954"/>
    <w:link w:val="799"/>
    <w:uiPriority w:val="9"/>
    <w:unhideWhenUsed/>
    <w:qFormat/>
    <w:pPr>
      <w:keepLines/>
      <w:keepNext/>
      <w:spacing w:before="320" w:after="200"/>
      <w:outlineLvl w:val="7"/>
    </w:pPr>
    <w:rPr>
      <w:rFonts w:ascii="Arial" w:hAnsi="Arial" w:eastAsia="Arial" w:cs="Arial"/>
      <w:i/>
      <w:iCs/>
      <w:sz w:val="22"/>
      <w:szCs w:val="22"/>
    </w:rPr>
  </w:style>
  <w:style w:type="character" w:styleId="799">
    <w:name w:val="Heading 8 Char"/>
    <w:basedOn w:val="958"/>
    <w:link w:val="798"/>
    <w:uiPriority w:val="9"/>
    <w:rPr>
      <w:rFonts w:ascii="Arial" w:hAnsi="Arial" w:eastAsia="Arial" w:cs="Arial"/>
      <w:i/>
      <w:iCs/>
      <w:sz w:val="22"/>
      <w:szCs w:val="22"/>
    </w:rPr>
  </w:style>
  <w:style w:type="paragraph" w:styleId="800">
    <w:name w:val="Heading 9"/>
    <w:basedOn w:val="954"/>
    <w:next w:val="954"/>
    <w:link w:val="801"/>
    <w:uiPriority w:val="9"/>
    <w:unhideWhenUsed/>
    <w:qFormat/>
    <w:pPr>
      <w:keepLines/>
      <w:keepNext/>
      <w:spacing w:before="320" w:after="200"/>
      <w:outlineLvl w:val="8"/>
    </w:pPr>
    <w:rPr>
      <w:rFonts w:ascii="Arial" w:hAnsi="Arial" w:eastAsia="Arial" w:cs="Arial"/>
      <w:i/>
      <w:iCs/>
      <w:sz w:val="21"/>
      <w:szCs w:val="21"/>
    </w:rPr>
  </w:style>
  <w:style w:type="character" w:styleId="801">
    <w:name w:val="Heading 9 Char"/>
    <w:basedOn w:val="958"/>
    <w:link w:val="800"/>
    <w:uiPriority w:val="9"/>
    <w:rPr>
      <w:rFonts w:ascii="Arial" w:hAnsi="Arial" w:eastAsia="Arial" w:cs="Arial"/>
      <w:i/>
      <w:iCs/>
      <w:sz w:val="21"/>
      <w:szCs w:val="21"/>
    </w:rPr>
  </w:style>
  <w:style w:type="paragraph" w:styleId="802">
    <w:name w:val="Title"/>
    <w:basedOn w:val="954"/>
    <w:next w:val="954"/>
    <w:link w:val="803"/>
    <w:uiPriority w:val="10"/>
    <w:qFormat/>
    <w:pPr>
      <w:contextualSpacing/>
      <w:spacing w:before="300" w:after="200"/>
    </w:pPr>
    <w:rPr>
      <w:sz w:val="48"/>
      <w:szCs w:val="48"/>
    </w:rPr>
  </w:style>
  <w:style w:type="character" w:styleId="803">
    <w:name w:val="Title Char"/>
    <w:basedOn w:val="958"/>
    <w:link w:val="802"/>
    <w:uiPriority w:val="10"/>
    <w:rPr>
      <w:sz w:val="48"/>
      <w:szCs w:val="48"/>
    </w:rPr>
  </w:style>
  <w:style w:type="paragraph" w:styleId="804">
    <w:name w:val="Subtitle"/>
    <w:basedOn w:val="954"/>
    <w:next w:val="954"/>
    <w:link w:val="805"/>
    <w:uiPriority w:val="11"/>
    <w:qFormat/>
    <w:pPr>
      <w:spacing w:before="200" w:after="200"/>
    </w:pPr>
    <w:rPr>
      <w:sz w:val="24"/>
      <w:szCs w:val="24"/>
    </w:rPr>
  </w:style>
  <w:style w:type="character" w:styleId="805">
    <w:name w:val="Subtitle Char"/>
    <w:basedOn w:val="958"/>
    <w:link w:val="804"/>
    <w:uiPriority w:val="11"/>
    <w:rPr>
      <w:sz w:val="24"/>
      <w:szCs w:val="24"/>
    </w:rPr>
  </w:style>
  <w:style w:type="paragraph" w:styleId="806">
    <w:name w:val="Quote"/>
    <w:basedOn w:val="954"/>
    <w:next w:val="954"/>
    <w:link w:val="807"/>
    <w:uiPriority w:val="29"/>
    <w:qFormat/>
    <w:pPr>
      <w:ind w:left="720" w:right="720"/>
    </w:pPr>
    <w:rPr>
      <w:i/>
    </w:rPr>
  </w:style>
  <w:style w:type="character" w:styleId="807">
    <w:name w:val="Quote Char"/>
    <w:link w:val="806"/>
    <w:uiPriority w:val="29"/>
    <w:rPr>
      <w:i/>
    </w:rPr>
  </w:style>
  <w:style w:type="paragraph" w:styleId="808">
    <w:name w:val="Intense Quote"/>
    <w:basedOn w:val="954"/>
    <w:next w:val="954"/>
    <w:link w:val="809"/>
    <w:uiPriority w:val="30"/>
    <w:qFormat/>
    <w:pPr>
      <w:contextualSpacing w:val="0"/>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809">
    <w:name w:val="Intense Quote Char"/>
    <w:link w:val="808"/>
    <w:uiPriority w:val="30"/>
    <w:rPr>
      <w:i/>
    </w:rPr>
  </w:style>
  <w:style w:type="character" w:styleId="810">
    <w:name w:val="Header Char"/>
    <w:basedOn w:val="958"/>
    <w:link w:val="965"/>
    <w:uiPriority w:val="99"/>
  </w:style>
  <w:style w:type="character" w:styleId="811">
    <w:name w:val="Footer Char"/>
    <w:basedOn w:val="958"/>
    <w:link w:val="991"/>
    <w:uiPriority w:val="99"/>
  </w:style>
  <w:style w:type="paragraph" w:styleId="812">
    <w:name w:val="Caption"/>
    <w:basedOn w:val="954"/>
    <w:next w:val="954"/>
    <w:uiPriority w:val="35"/>
    <w:semiHidden/>
    <w:unhideWhenUsed/>
    <w:qFormat/>
    <w:pPr>
      <w:spacing w:line="276" w:lineRule="auto"/>
    </w:pPr>
    <w:rPr>
      <w:b/>
      <w:bCs/>
      <w:color w:val="4f81bd" w:themeColor="accent1"/>
      <w:sz w:val="18"/>
      <w:szCs w:val="18"/>
    </w:rPr>
  </w:style>
  <w:style w:type="character" w:styleId="813">
    <w:name w:val="Caption Char"/>
    <w:basedOn w:val="812"/>
    <w:link w:val="991"/>
    <w:uiPriority w:val="99"/>
  </w:style>
  <w:style w:type="table" w:styleId="814">
    <w:name w:val="Table Grid Light"/>
    <w:basedOn w:val="959"/>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style>
  <w:style w:type="table" w:styleId="815">
    <w:name w:val="Plain Table 1"/>
    <w:basedOn w:val="959"/>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blStylePr w:type="band1Horz">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816">
    <w:name w:val="Plain Table 2"/>
    <w:basedOn w:val="959"/>
    <w:uiPriority w:val="59"/>
    <w:pPr>
      <w:spacing w:after="0" w:line="240" w:lineRule="auto"/>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817">
    <w:name w:val="Plain Table 3"/>
    <w:basedOn w:val="95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818">
    <w:name w:val="Plain Table 4"/>
    <w:basedOn w:val="95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819">
    <w:name w:val="Plain Table 5"/>
    <w:basedOn w:val="95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bottom w:val="single" w:color="404040" w:sz="4" w:space="0"/>
          <w:right w:val="none" w:color="00000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top w:val="single" w:color="404040" w:sz="4" w:space="0"/>
          <w:left w:val="none" w:color="000000" w:sz="4" w:space="0"/>
          <w:right w:val="none" w:color="000000" w:sz="4" w:space="0"/>
        </w:tcBorders>
      </w:tcPr>
    </w:tblStylePr>
  </w:style>
  <w:style w:type="table" w:styleId="820">
    <w:name w:val="Grid Table 1 Light"/>
    <w:basedOn w:val="959"/>
    <w:uiPriority w:val="99"/>
    <w:pPr>
      <w:spacing w:after="0" w:line="240" w:lineRule="auto"/>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blStylePr w:type="band1Horz">
      <w:rPr>
        <w:rFonts w:ascii="Arial" w:hAnsi="Arial"/>
        <w:color w:val="404040"/>
        <w:sz w:val="22"/>
      </w:r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firstCol">
      <w:rPr>
        <w:b/>
        <w:color w:val="404040"/>
      </w:rPr>
    </w:tblStylePr>
    <w:tblStylePr w:type="firstRow">
      <w:rPr>
        <w:b/>
        <w:color w:val="404040"/>
      </w:rPr>
      <w:tcPr>
        <w:tcBorders>
          <w:bottom w:val="single" w:color="000000" w:themeColor="text1" w:themeTint="95" w:sz="12" w:space="0"/>
        </w:tcBorders>
      </w:tcPr>
    </w:tblStylePr>
    <w:tblStylePr w:type="lastCol">
      <w:rPr>
        <w:b/>
        <w:color w:val="404040"/>
      </w:rPr>
    </w:tblStylePr>
    <w:tblStylePr w:type="lastRow">
      <w:rPr>
        <w:b/>
        <w:color w:val="404040"/>
      </w:rPr>
    </w:tblStylePr>
  </w:style>
  <w:style w:type="table" w:styleId="821">
    <w:name w:val="Grid Table 1 Light - Accent 1"/>
    <w:basedOn w:val="959"/>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b/>
        <w:color w:val="404040"/>
      </w:rPr>
    </w:tblStylePr>
    <w:tblStylePr w:type="firstRow">
      <w:rPr>
        <w:b/>
        <w:color w:val="404040"/>
      </w:rPr>
      <w:tcPr>
        <w:tcBorders>
          <w:bottom w:val="single" w:color="000000" w:themeColor="accent1" w:themeTint="95" w:sz="12" w:space="0"/>
        </w:tcBorders>
      </w:tcPr>
    </w:tblStylePr>
    <w:tblStylePr w:type="lastCol">
      <w:rPr>
        <w:b/>
        <w:color w:val="404040"/>
      </w:rPr>
    </w:tblStylePr>
    <w:tblStylePr w:type="lastRow">
      <w:rPr>
        <w:b/>
        <w:color w:val="404040"/>
      </w:rPr>
    </w:tblStylePr>
  </w:style>
  <w:style w:type="table" w:styleId="822">
    <w:name w:val="Grid Table 1 Light - Accent 2"/>
    <w:basedOn w:val="959"/>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b/>
        <w:color w:val="404040"/>
      </w:rPr>
    </w:tblStylePr>
    <w:tblStylePr w:type="firstRow">
      <w:rPr>
        <w:b/>
        <w:color w:val="404040"/>
      </w:rPr>
      <w:tcPr>
        <w:tcBorders>
          <w:bottom w:val="single" w:color="000000" w:themeColor="accent2" w:themeTint="95" w:sz="12" w:space="0"/>
        </w:tcBorders>
      </w:tcPr>
    </w:tblStylePr>
    <w:tblStylePr w:type="lastCol">
      <w:rPr>
        <w:b/>
        <w:color w:val="404040"/>
      </w:rPr>
    </w:tblStylePr>
    <w:tblStylePr w:type="lastRow">
      <w:rPr>
        <w:b/>
        <w:color w:val="404040"/>
      </w:rPr>
    </w:tblStylePr>
  </w:style>
  <w:style w:type="table" w:styleId="823">
    <w:name w:val="Grid Table 1 Light - Accent 3"/>
    <w:basedOn w:val="959"/>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b/>
        <w:color w:val="404040"/>
      </w:rPr>
    </w:tblStylePr>
    <w:tblStylePr w:type="firstRow">
      <w:rPr>
        <w:b/>
        <w:color w:val="404040"/>
      </w:rPr>
      <w:tcPr>
        <w:tcBorders>
          <w:bottom w:val="single" w:color="000000" w:themeColor="accent3" w:themeTint="95" w:sz="12" w:space="0"/>
        </w:tcBorders>
      </w:tcPr>
    </w:tblStylePr>
    <w:tblStylePr w:type="lastCol">
      <w:rPr>
        <w:b/>
        <w:color w:val="404040"/>
      </w:rPr>
    </w:tblStylePr>
    <w:tblStylePr w:type="lastRow">
      <w:rPr>
        <w:b/>
        <w:color w:val="404040"/>
      </w:rPr>
    </w:tblStylePr>
  </w:style>
  <w:style w:type="table" w:styleId="824">
    <w:name w:val="Grid Table 1 Light - Accent 4"/>
    <w:basedOn w:val="959"/>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b/>
        <w:color w:val="404040"/>
      </w:rPr>
    </w:tblStylePr>
    <w:tblStylePr w:type="firstRow">
      <w:rPr>
        <w:b/>
        <w:color w:val="404040"/>
      </w:rPr>
      <w:tcPr>
        <w:tcBorders>
          <w:bottom w:val="single" w:color="000000" w:themeColor="accent4" w:themeTint="95" w:sz="12" w:space="0"/>
        </w:tcBorders>
      </w:tcPr>
    </w:tblStylePr>
    <w:tblStylePr w:type="lastCol">
      <w:rPr>
        <w:b/>
        <w:color w:val="404040"/>
      </w:rPr>
    </w:tblStylePr>
    <w:tblStylePr w:type="lastRow">
      <w:rPr>
        <w:b/>
        <w:color w:val="404040"/>
      </w:rPr>
    </w:tblStylePr>
  </w:style>
  <w:style w:type="table" w:styleId="825">
    <w:name w:val="Grid Table 1 Light - Accent 5"/>
    <w:basedOn w:val="959"/>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b/>
        <w:color w:val="404040"/>
      </w:rPr>
    </w:tblStylePr>
    <w:tblStylePr w:type="firstRow">
      <w:rPr>
        <w:b/>
        <w:color w:val="404040"/>
      </w:rPr>
      <w:tcPr>
        <w:tcBorders>
          <w:bottom w:val="single" w:color="000000" w:themeColor="accent5" w:themeTint="95" w:sz="12" w:space="0"/>
        </w:tcBorders>
      </w:tcPr>
    </w:tblStylePr>
    <w:tblStylePr w:type="lastCol">
      <w:rPr>
        <w:b/>
        <w:color w:val="404040"/>
      </w:rPr>
    </w:tblStylePr>
    <w:tblStylePr w:type="lastRow">
      <w:rPr>
        <w:b/>
        <w:color w:val="404040"/>
      </w:rPr>
    </w:tblStylePr>
  </w:style>
  <w:style w:type="table" w:styleId="826">
    <w:name w:val="Grid Table 1 Light - Accent 6"/>
    <w:basedOn w:val="959"/>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b/>
        <w:color w:val="404040"/>
      </w:rPr>
    </w:tblStylePr>
    <w:tblStylePr w:type="firstRow">
      <w:rPr>
        <w:b/>
        <w:color w:val="404040"/>
      </w:rPr>
      <w:tcPr>
        <w:tcBorders>
          <w:bottom w:val="single" w:color="000000" w:themeColor="accent6" w:themeTint="95" w:sz="12" w:space="0"/>
        </w:tcBorders>
      </w:tcPr>
    </w:tblStylePr>
    <w:tblStylePr w:type="lastCol">
      <w:rPr>
        <w:b/>
        <w:color w:val="404040"/>
      </w:rPr>
    </w:tblStylePr>
    <w:tblStylePr w:type="lastRow">
      <w:rPr>
        <w:b/>
        <w:color w:val="404040"/>
      </w:rPr>
    </w:tblStylePr>
  </w:style>
  <w:style w:type="table" w:styleId="827">
    <w:name w:val="Grid Table 2"/>
    <w:basedOn w:val="959"/>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text1" w:themeTint="95" w:sz="4" w:space="0"/>
          <w:left w:val="none" w:color="000000" w:sz="4" w:space="0"/>
          <w:bottom w:val="none" w:color="000000" w:sz="4" w:space="0"/>
          <w:right w:val="none" w:color="000000" w:sz="4" w:space="0"/>
        </w:tcBorders>
      </w:tcPr>
    </w:tblStylePr>
  </w:style>
  <w:style w:type="table" w:styleId="828">
    <w:name w:val="Grid Table 2 - Accent 1"/>
    <w:basedOn w:val="959"/>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1" w:themeTint="EA" w:sz="4" w:space="0"/>
          <w:left w:val="none" w:color="000000" w:sz="4" w:space="0"/>
          <w:bottom w:val="none" w:color="000000" w:sz="4" w:space="0"/>
          <w:right w:val="none" w:color="000000" w:sz="4" w:space="0"/>
        </w:tcBorders>
      </w:tcPr>
    </w:tblStylePr>
  </w:style>
  <w:style w:type="table" w:styleId="829">
    <w:name w:val="Grid Table 2 - Accent 2"/>
    <w:basedOn w:val="959"/>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2" w:themeTint="97" w:sz="4" w:space="0"/>
          <w:left w:val="none" w:color="000000" w:sz="4" w:space="0"/>
          <w:bottom w:val="none" w:color="000000" w:sz="4" w:space="0"/>
          <w:right w:val="none" w:color="000000" w:sz="4" w:space="0"/>
        </w:tcBorders>
      </w:tcPr>
    </w:tblStylePr>
  </w:style>
  <w:style w:type="table" w:styleId="830">
    <w:name w:val="Grid Table 2 - Accent 3"/>
    <w:basedOn w:val="959"/>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3" w:themeTint="FE" w:sz="4" w:space="0"/>
          <w:left w:val="none" w:color="000000" w:sz="4" w:space="0"/>
          <w:bottom w:val="none" w:color="000000" w:sz="4" w:space="0"/>
          <w:right w:val="none" w:color="000000" w:sz="4" w:space="0"/>
        </w:tcBorders>
      </w:tcPr>
    </w:tblStylePr>
  </w:style>
  <w:style w:type="table" w:styleId="831">
    <w:name w:val="Grid Table 2 - Accent 4"/>
    <w:basedOn w:val="959"/>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4" w:themeTint="9A" w:sz="4" w:space="0"/>
          <w:left w:val="none" w:color="000000" w:sz="4" w:space="0"/>
          <w:bottom w:val="none" w:color="000000" w:sz="4" w:space="0"/>
          <w:right w:val="none" w:color="000000" w:sz="4" w:space="0"/>
        </w:tcBorders>
      </w:tcPr>
    </w:tblStylePr>
  </w:style>
  <w:style w:type="table" w:styleId="832">
    <w:name w:val="Grid Table 2 - Accent 5"/>
    <w:basedOn w:val="959"/>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5" w:sz="4" w:space="0"/>
          <w:left w:val="none" w:color="000000" w:sz="4" w:space="0"/>
          <w:bottom w:val="none" w:color="000000" w:sz="4" w:space="0"/>
          <w:right w:val="none" w:color="000000" w:sz="4" w:space="0"/>
        </w:tcBorders>
      </w:tcPr>
    </w:tblStylePr>
  </w:style>
  <w:style w:type="table" w:styleId="833">
    <w:name w:val="Grid Table 2 - Accent 6"/>
    <w:basedOn w:val="959"/>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6" w:sz="4" w:space="0"/>
          <w:left w:val="none" w:color="000000" w:sz="4" w:space="0"/>
          <w:bottom w:val="none" w:color="000000" w:sz="4" w:space="0"/>
          <w:right w:val="none" w:color="000000" w:sz="4" w:space="0"/>
        </w:tcBorders>
      </w:tcPr>
    </w:tblStylePr>
  </w:style>
  <w:style w:type="table" w:styleId="834">
    <w:name w:val="Grid Table 3"/>
    <w:basedOn w:val="959"/>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835">
    <w:name w:val="Grid Table 3 - Accent 1"/>
    <w:basedOn w:val="959"/>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836">
    <w:name w:val="Grid Table 3 - Accent 2"/>
    <w:basedOn w:val="959"/>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837">
    <w:name w:val="Grid Table 3 - Accent 3"/>
    <w:basedOn w:val="959"/>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838">
    <w:name w:val="Grid Table 3 - Accent 4"/>
    <w:basedOn w:val="959"/>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839">
    <w:name w:val="Grid Table 3 - Accent 5"/>
    <w:basedOn w:val="959"/>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840">
    <w:name w:val="Grid Table 3 - Accent 6"/>
    <w:basedOn w:val="959"/>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841">
    <w:name w:val="Grid Table 4"/>
    <w:basedOn w:val="959"/>
    <w:uiPriority w:val="59"/>
    <w:pPr>
      <w:spacing w:after="0" w:line="240" w:lineRule="auto"/>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842">
    <w:name w:val="Grid Table 4 - Accent 1"/>
    <w:basedOn w:val="959"/>
    <w:uiPriority w:val="5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blStylePr w:type="band1Horz">
      <w:rPr>
        <w:rFonts w:ascii="Arial" w:hAnsi="Arial"/>
        <w:color w:val="404040"/>
        <w:sz w:val="22"/>
      </w:rPr>
      <w:tcPr>
        <w:shd w:val="clear" w:color="ffffff" w:themeColor="accent1" w:themeTint="32" w:fill="dce6f1" w:themeFill="accent1" w:themeFillTint="32"/>
      </w:tcPr>
    </w:tblStylePr>
    <w:tblStylePr w:type="band1Vert">
      <w:rPr>
        <w:rFonts w:ascii="Arial" w:hAnsi="Arial"/>
        <w:color w:val="404040"/>
        <w:sz w:val="22"/>
      </w:rPr>
      <w:tcPr>
        <w:shd w:val="clear" w:color="ffffff" w:themeColor="accent1" w:themeTint="32" w:fill="dce6f1" w:themeFill="accent1" w:themeFillTint="32"/>
      </w:tcPr>
    </w:tblStylePr>
    <w:tblStylePr w:type="firstCol">
      <w:rPr>
        <w:b/>
        <w:color w:val="404040"/>
      </w:rPr>
    </w:tblStylePr>
    <w:tblStylePr w:type="firstRow">
      <w:rPr>
        <w:rFonts w:ascii="Arial" w:hAnsi="Arial"/>
        <w:b/>
        <w:color w:val="ffffff"/>
        <w:sz w:val="22"/>
      </w:rPr>
      <w:tcPr>
        <w:shd w:val="clear" w:color="ffffff" w:themeColor="accent1" w:themeTint="EA" w:fill="5d8d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tblStylePr>
    <w:tblStylePr w:type="lastRow">
      <w:rPr>
        <w:b/>
        <w:color w:val="404040"/>
      </w:rPr>
      <w:tcPr>
        <w:tcBorders>
          <w:top w:val="single" w:color="000000" w:themeColor="accent1" w:themeTint="EA" w:sz="4" w:space="0"/>
        </w:tcBorders>
      </w:tcPr>
    </w:tblStylePr>
  </w:style>
  <w:style w:type="table" w:styleId="843">
    <w:name w:val="Grid Table 4 - Accent 2"/>
    <w:basedOn w:val="959"/>
    <w:uiPriority w:val="5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tblStylePr>
    <w:tblStylePr w:type="lastRow">
      <w:rPr>
        <w:b/>
        <w:color w:val="404040"/>
      </w:rPr>
      <w:tcPr>
        <w:tcBorders>
          <w:top w:val="single" w:color="000000" w:themeColor="accent2" w:themeTint="97" w:sz="4" w:space="0"/>
        </w:tcBorders>
      </w:tcPr>
    </w:tblStylePr>
  </w:style>
  <w:style w:type="table" w:styleId="844">
    <w:name w:val="Grid Table 4 - Accent 3"/>
    <w:basedOn w:val="959"/>
    <w:uiPriority w:val="5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rFonts w:ascii="Arial" w:hAnsi="Arial"/>
        <w:b/>
        <w:color w:val="ffffff"/>
        <w:sz w:val="22"/>
      </w:rPr>
      <w:tcPr>
        <w:shd w:val="clear" w:color="ffffff" w:themeColor="accent3" w:themeTint="FE" w:fill="9bba59"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tblStylePr>
    <w:tblStylePr w:type="lastRow">
      <w:rPr>
        <w:b/>
        <w:color w:val="404040"/>
      </w:rPr>
      <w:tcPr>
        <w:tcBorders>
          <w:top w:val="single" w:color="000000" w:themeColor="accent3" w:themeTint="FE" w:sz="4" w:space="0"/>
        </w:tcBorders>
      </w:tcPr>
    </w:tblStylePr>
  </w:style>
  <w:style w:type="table" w:styleId="845">
    <w:name w:val="Grid Table 4 - Accent 4"/>
    <w:basedOn w:val="959"/>
    <w:uiPriority w:val="5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tblStylePr>
    <w:tblStylePr w:type="lastRow">
      <w:rPr>
        <w:b/>
        <w:color w:val="404040"/>
      </w:rPr>
      <w:tcPr>
        <w:tcBorders>
          <w:top w:val="single" w:color="000000" w:themeColor="accent4" w:themeTint="9A" w:sz="4" w:space="0"/>
        </w:tcBorders>
      </w:tcPr>
    </w:tblStylePr>
  </w:style>
  <w:style w:type="table" w:styleId="846">
    <w:name w:val="Grid Table 4 - Accent 5"/>
    <w:basedOn w:val="959"/>
    <w:uiPriority w:val="5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tblStylePr>
    <w:tblStylePr w:type="lastRow">
      <w:rPr>
        <w:b/>
        <w:color w:val="404040"/>
      </w:rPr>
      <w:tcPr>
        <w:tcBorders>
          <w:top w:val="single" w:color="000000" w:themeColor="accent5" w:sz="4" w:space="0"/>
        </w:tcBorders>
      </w:tcPr>
    </w:tblStylePr>
  </w:style>
  <w:style w:type="table" w:styleId="847">
    <w:name w:val="Grid Table 4 - Accent 6"/>
    <w:basedOn w:val="959"/>
    <w:uiPriority w:val="5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tblStylePr>
    <w:tblStylePr w:type="lastRow">
      <w:rPr>
        <w:b/>
        <w:color w:val="404040"/>
      </w:rPr>
      <w:tcPr>
        <w:tcBorders>
          <w:top w:val="single" w:color="000000" w:themeColor="accent6" w:sz="4" w:space="0"/>
        </w:tcBorders>
      </w:tcPr>
    </w:tblStylePr>
  </w:style>
  <w:style w:type="table" w:styleId="848">
    <w:name w:val="Grid Table 5 Dark"/>
    <w:basedOn w:val="95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blStylePr w:type="band1Horz">
      <w:tcPr>
        <w:shd w:val="clear" w:color="ffffff" w:themeColor="text1" w:themeTint="75" w:fill="8a8a8a" w:themeFill="text1" w:themeFillTint="75"/>
      </w:tcPr>
    </w:tblStylePr>
    <w:tblStylePr w:type="band1Vert">
      <w:tcPr>
        <w:shd w:val="clear" w:color="ffffff" w:themeColor="text1" w:themeTint="75" w:fill="8a8a8a" w:themeFill="text1" w:themeFillTint="75"/>
      </w:tcPr>
    </w:tblStylePr>
    <w:tblStylePr w:type="firstCol">
      <w:rPr>
        <w:rFonts w:ascii="Arial" w:hAnsi="Arial"/>
        <w:b/>
        <w:color w:val="ffffff"/>
        <w:sz w:val="22"/>
      </w:rPr>
      <w:tcPr>
        <w:shd w:val="clear" w:color="ffffff" w:themeColor="text1" w:fill="000000" w:themeFill="text1"/>
      </w:tcPr>
    </w:tblStylePr>
    <w:tblStylePr w:type="firstRow">
      <w:rPr>
        <w:rFonts w:ascii="Arial" w:hAnsi="Arial"/>
        <w:b/>
        <w:color w:val="ffffff"/>
        <w:sz w:val="22"/>
      </w:rPr>
      <w:tcPr>
        <w:shd w:val="clear" w:color="ffffff" w:themeColor="text1" w:fill="000000" w:themeFill="text1"/>
      </w:tcPr>
    </w:tblStylePr>
    <w:tblStylePr w:type="lastCol">
      <w:rPr>
        <w:rFonts w:ascii="Arial" w:hAnsi="Arial"/>
        <w:b/>
        <w:color w:val="ffffff"/>
        <w:sz w:val="22"/>
      </w:rPr>
      <w:tcPr>
        <w:shd w:val="clear" w:color="ffffff" w:themeColor="text1" w:fill="000000" w:themeFill="text1"/>
      </w:tcPr>
    </w:tblStylePr>
    <w:tblStylePr w:type="lastRow">
      <w:rPr>
        <w:rFonts w:ascii="Arial" w:hAnsi="Arial"/>
        <w:b/>
        <w:color w:val="ffffff"/>
        <w:sz w:val="22"/>
      </w:rPr>
      <w:tcPr>
        <w:shd w:val="clear" w:color="ffffff" w:themeColor="text1" w:fill="000000" w:themeFill="text1"/>
        <w:tcBorders>
          <w:top w:val="single" w:color="000000" w:themeColor="light1" w:sz="4" w:space="0"/>
        </w:tcBorders>
      </w:tcPr>
    </w:tblStylePr>
  </w:style>
  <w:style w:type="table" w:styleId="849">
    <w:name w:val="Grid Table 5 Dark- Accent 1"/>
    <w:basedOn w:val="95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ae5f1" w:themeFill="accent1" w:themeFillTint="34"/>
    </w:tblPr>
    <w:tblStylePr w:type="band1Horz">
      <w:tcPr>
        <w:shd w:val="clear" w:color="ffffff" w:themeColor="accent1" w:themeTint="75" w:fill="adc5e0" w:themeFill="accent1" w:themeFillTint="75"/>
      </w:tcPr>
    </w:tblStylePr>
    <w:tblStylePr w:type="band1Vert">
      <w:tcPr>
        <w:shd w:val="clear" w:color="ffffff" w:themeColor="accent1" w:themeTint="75" w:fill="adc5e0" w:themeFill="accent1" w:themeFillTint="75"/>
      </w:tcPr>
    </w:tblStylePr>
    <w:tblStylePr w:type="firstCol">
      <w:rPr>
        <w:rFonts w:ascii="Arial" w:hAnsi="Arial"/>
        <w:b/>
        <w:color w:val="ffffff"/>
        <w:sz w:val="22"/>
      </w:rPr>
      <w:tcPr>
        <w:shd w:val="clear" w:color="ffffff" w:themeColor="accent1" w:fill="4f81bd" w:themeFill="accent1"/>
      </w:tcPr>
    </w:tblStylePr>
    <w:tblStylePr w:type="firstRow">
      <w:rPr>
        <w:rFonts w:ascii="Arial" w:hAnsi="Arial"/>
        <w:b/>
        <w:color w:val="ffffff"/>
        <w:sz w:val="22"/>
      </w:rPr>
      <w:tcPr>
        <w:shd w:val="clear" w:color="ffffff" w:themeColor="accent1" w:fill="4f81bd" w:themeFill="accent1"/>
      </w:tcPr>
    </w:tblStylePr>
    <w:tblStylePr w:type="lastCol">
      <w:rPr>
        <w:rFonts w:ascii="Arial" w:hAnsi="Arial"/>
        <w:b/>
        <w:color w:val="ffffff"/>
        <w:sz w:val="22"/>
      </w:rPr>
      <w:tcPr>
        <w:shd w:val="clear" w:color="ffffff" w:themeColor="accent1" w:fill="4f81bd" w:themeFill="accent1"/>
      </w:tcPr>
    </w:tblStylePr>
    <w:tblStylePr w:type="lastRow">
      <w:rPr>
        <w:rFonts w:ascii="Arial" w:hAnsi="Arial"/>
        <w:b/>
        <w:color w:val="ffffff"/>
        <w:sz w:val="22"/>
      </w:rPr>
      <w:tcPr>
        <w:shd w:val="clear" w:color="ffffff" w:themeColor="accent1" w:fill="4f81bd" w:themeFill="accent1"/>
        <w:tcBorders>
          <w:top w:val="single" w:color="000000" w:themeColor="light1" w:sz="4" w:space="0"/>
        </w:tcBorders>
      </w:tcPr>
    </w:tblStylePr>
  </w:style>
  <w:style w:type="table" w:styleId="850">
    <w:name w:val="Grid Table 5 Dark - Accent 2"/>
    <w:basedOn w:val="95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2dcdb" w:themeFill="accent2" w:themeFillTint="32"/>
    </w:tblPr>
    <w:tblStylePr w:type="band1Horz">
      <w:tcPr>
        <w:shd w:val="clear" w:color="ffffff" w:themeColor="accent2" w:themeTint="75" w:fill="e1adac" w:themeFill="accent2" w:themeFillTint="75"/>
      </w:tcPr>
    </w:tblStylePr>
    <w:tblStylePr w:type="band1Vert">
      <w:tcPr>
        <w:shd w:val="clear" w:color="ffffff" w:themeColor="accent2" w:themeTint="75" w:fill="e1adac" w:themeFill="accent2" w:themeFillTint="75"/>
      </w:tcPr>
    </w:tblStylePr>
    <w:tblStylePr w:type="firstCol">
      <w:rPr>
        <w:rFonts w:ascii="Arial" w:hAnsi="Arial"/>
        <w:b/>
        <w:color w:val="ffffff"/>
        <w:sz w:val="22"/>
      </w:rPr>
      <w:tcPr>
        <w:shd w:val="clear" w:color="ffffff" w:themeColor="accent2" w:fill="c0504d" w:themeFill="accent2"/>
      </w:tcPr>
    </w:tblStylePr>
    <w:tblStylePr w:type="firstRow">
      <w:rPr>
        <w:rFonts w:ascii="Arial" w:hAnsi="Arial"/>
        <w:b/>
        <w:color w:val="ffffff"/>
        <w:sz w:val="22"/>
      </w:rPr>
      <w:tcPr>
        <w:shd w:val="clear" w:color="ffffff" w:themeColor="accent2" w:fill="c0504d" w:themeFill="accent2"/>
      </w:tcPr>
    </w:tblStylePr>
    <w:tblStylePr w:type="lastCol">
      <w:rPr>
        <w:rFonts w:ascii="Arial" w:hAnsi="Arial"/>
        <w:b/>
        <w:color w:val="ffffff"/>
        <w:sz w:val="22"/>
      </w:rPr>
      <w:tcPr>
        <w:shd w:val="clear" w:color="ffffff" w:themeColor="accent2" w:fill="c0504d" w:themeFill="accent2"/>
      </w:tcPr>
    </w:tblStylePr>
    <w:tblStylePr w:type="lastRow">
      <w:rPr>
        <w:rFonts w:ascii="Arial" w:hAnsi="Arial"/>
        <w:b/>
        <w:color w:val="ffffff"/>
        <w:sz w:val="22"/>
      </w:rPr>
      <w:tcPr>
        <w:shd w:val="clear" w:color="ffffff" w:themeColor="accent2" w:fill="c0504d" w:themeFill="accent2"/>
        <w:tcBorders>
          <w:top w:val="single" w:color="000000" w:themeColor="light1" w:sz="4" w:space="0"/>
        </w:tcBorders>
      </w:tcPr>
    </w:tblStylePr>
  </w:style>
  <w:style w:type="table" w:styleId="851">
    <w:name w:val="Grid Table 5 Dark - Accent 3"/>
    <w:basedOn w:val="95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af0dd" w:themeFill="accent3" w:themeFillTint="34"/>
    </w:tblPr>
    <w:tblStylePr w:type="band1Horz">
      <w:tcPr>
        <w:shd w:val="clear" w:color="ffffff" w:themeColor="accent3" w:themeTint="75" w:fill="d1dfb2" w:themeFill="accent3" w:themeFillTint="75"/>
      </w:tcPr>
    </w:tblStylePr>
    <w:tblStylePr w:type="band1Vert">
      <w:tcPr>
        <w:shd w:val="clear" w:color="ffffff" w:themeColor="accent3" w:themeTint="75" w:fill="d1dfb2" w:themeFill="accent3" w:themeFillTint="75"/>
      </w:tcPr>
    </w:tblStylePr>
    <w:tblStylePr w:type="firstCol">
      <w:rPr>
        <w:rFonts w:ascii="Arial" w:hAnsi="Arial"/>
        <w:b/>
        <w:color w:val="ffffff"/>
        <w:sz w:val="22"/>
      </w:rPr>
      <w:tcPr>
        <w:shd w:val="clear" w:color="ffffff" w:themeColor="accent3" w:fill="9bbb59" w:themeFill="accent3"/>
      </w:tcPr>
    </w:tblStylePr>
    <w:tblStylePr w:type="firstRow">
      <w:rPr>
        <w:rFonts w:ascii="Arial" w:hAnsi="Arial"/>
        <w:b/>
        <w:color w:val="ffffff"/>
        <w:sz w:val="22"/>
      </w:rPr>
      <w:tcPr>
        <w:shd w:val="clear" w:color="ffffff" w:themeColor="accent3" w:fill="9bbb59" w:themeFill="accent3"/>
      </w:tcPr>
    </w:tblStylePr>
    <w:tblStylePr w:type="lastCol">
      <w:rPr>
        <w:rFonts w:ascii="Arial" w:hAnsi="Arial"/>
        <w:b/>
        <w:color w:val="ffffff"/>
        <w:sz w:val="22"/>
      </w:rPr>
      <w:tcPr>
        <w:shd w:val="clear" w:color="ffffff" w:themeColor="accent3" w:fill="9bbb59" w:themeFill="accent3"/>
      </w:tcPr>
    </w:tblStylePr>
    <w:tblStylePr w:type="lastRow">
      <w:rPr>
        <w:rFonts w:ascii="Arial" w:hAnsi="Arial"/>
        <w:b/>
        <w:color w:val="ffffff"/>
        <w:sz w:val="22"/>
      </w:rPr>
      <w:tcPr>
        <w:shd w:val="clear" w:color="ffffff" w:themeColor="accent3" w:fill="9bbb59" w:themeFill="accent3"/>
        <w:tcBorders>
          <w:top w:val="single" w:color="000000" w:themeColor="light1" w:sz="4" w:space="0"/>
        </w:tcBorders>
      </w:tcPr>
    </w:tblStylePr>
  </w:style>
  <w:style w:type="table" w:styleId="852">
    <w:name w:val="Grid Table 5 Dark- Accent 4"/>
    <w:basedOn w:val="95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blStylePr w:type="band1Horz">
      <w:tcPr>
        <w:shd w:val="clear" w:color="ffffff" w:themeColor="accent4" w:themeTint="75" w:fill="c4b7d4" w:themeFill="accent4" w:themeFillTint="75"/>
      </w:tcPr>
    </w:tblStylePr>
    <w:tblStylePr w:type="band1Vert">
      <w:tcPr>
        <w:shd w:val="clear" w:color="ffffff" w:themeColor="accent4" w:themeTint="75" w:fill="c4b7d4" w:themeFill="accent4" w:themeFillTint="75"/>
      </w:tcPr>
    </w:tblStylePr>
    <w:tblStylePr w:type="firstCol">
      <w:rPr>
        <w:rFonts w:ascii="Arial" w:hAnsi="Arial"/>
        <w:b/>
        <w:color w:val="ffffff"/>
        <w:sz w:val="22"/>
      </w:rPr>
      <w:tcPr>
        <w:shd w:val="clear" w:color="ffffff" w:themeColor="accent4" w:fill="8064a2" w:themeFill="accent4"/>
      </w:tcPr>
    </w:tblStylePr>
    <w:tblStylePr w:type="firstRow">
      <w:rPr>
        <w:rFonts w:ascii="Arial" w:hAnsi="Arial"/>
        <w:b/>
        <w:color w:val="ffffff"/>
        <w:sz w:val="22"/>
      </w:rPr>
      <w:tcPr>
        <w:shd w:val="clear" w:color="ffffff" w:themeColor="accent4" w:fill="8064a2" w:themeFill="accent4"/>
      </w:tcPr>
    </w:tblStylePr>
    <w:tblStylePr w:type="lastCol">
      <w:rPr>
        <w:rFonts w:ascii="Arial" w:hAnsi="Arial"/>
        <w:b/>
        <w:color w:val="ffffff"/>
        <w:sz w:val="22"/>
      </w:rPr>
      <w:tcPr>
        <w:shd w:val="clear" w:color="ffffff" w:themeColor="accent4" w:fill="8064a2" w:themeFill="accent4"/>
      </w:tcPr>
    </w:tblStylePr>
    <w:tblStylePr w:type="lastRow">
      <w:rPr>
        <w:rFonts w:ascii="Arial" w:hAnsi="Arial"/>
        <w:b/>
        <w:color w:val="ffffff"/>
        <w:sz w:val="22"/>
      </w:rPr>
      <w:tcPr>
        <w:shd w:val="clear" w:color="ffffff" w:themeColor="accent4" w:fill="8064a2" w:themeFill="accent4"/>
        <w:tcBorders>
          <w:top w:val="single" w:color="000000" w:themeColor="light1" w:sz="4" w:space="0"/>
        </w:tcBorders>
      </w:tcPr>
    </w:tblStylePr>
  </w:style>
  <w:style w:type="table" w:styleId="853">
    <w:name w:val="Grid Table 5 Dark - Accent 5"/>
    <w:basedOn w:val="95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blStylePr w:type="band1Horz">
      <w:tcPr>
        <w:shd w:val="clear" w:color="ffffff" w:themeColor="accent5" w:themeTint="75" w:fill="abd9e4" w:themeFill="accent5" w:themeFillTint="75"/>
      </w:tcPr>
    </w:tblStylePr>
    <w:tblStylePr w:type="band1Vert">
      <w:tcPr>
        <w:shd w:val="clear" w:color="ffffff" w:themeColor="accent5" w:themeTint="75" w:fill="abd9e4" w:themeFill="accent5" w:themeFillTint="75"/>
      </w:tcPr>
    </w:tblStylePr>
    <w:tblStylePr w:type="firstCol">
      <w:rPr>
        <w:rFonts w:ascii="Arial" w:hAnsi="Arial"/>
        <w:b/>
        <w:color w:val="ffffff"/>
        <w:sz w:val="22"/>
      </w:rPr>
      <w:tcPr>
        <w:shd w:val="clear" w:color="ffffff" w:themeColor="accent5" w:fill="4bacc6" w:themeFill="accent5"/>
      </w:tcPr>
    </w:tblStylePr>
    <w:tblStylePr w:type="firstRow">
      <w:rPr>
        <w:rFonts w:ascii="Arial" w:hAnsi="Arial"/>
        <w:b/>
        <w:color w:val="ffffff"/>
        <w:sz w:val="22"/>
      </w:rPr>
      <w:tcPr>
        <w:shd w:val="clear" w:color="ffffff" w:themeColor="accent5" w:fill="4bacc6" w:themeFill="accent5"/>
      </w:tcPr>
    </w:tblStylePr>
    <w:tblStylePr w:type="lastCol">
      <w:rPr>
        <w:rFonts w:ascii="Arial" w:hAnsi="Arial"/>
        <w:b/>
        <w:color w:val="ffffff"/>
        <w:sz w:val="22"/>
      </w:rPr>
      <w:tcPr>
        <w:shd w:val="clear" w:color="ffffff" w:themeColor="accent5" w:fill="4bacc6" w:themeFill="accent5"/>
      </w:tcPr>
    </w:tblStylePr>
    <w:tblStylePr w:type="lastRow">
      <w:rPr>
        <w:rFonts w:ascii="Arial" w:hAnsi="Arial"/>
        <w:b/>
        <w:color w:val="ffffff"/>
        <w:sz w:val="22"/>
      </w:rPr>
      <w:tcPr>
        <w:shd w:val="clear" w:color="ffffff" w:themeColor="accent5" w:fill="4bacc6" w:themeFill="accent5"/>
        <w:tcBorders>
          <w:top w:val="single" w:color="000000" w:themeColor="light1" w:sz="4" w:space="0"/>
        </w:tcBorders>
      </w:tcPr>
    </w:tblStylePr>
  </w:style>
  <w:style w:type="table" w:styleId="854">
    <w:name w:val="Grid Table 5 Dark - Accent 6"/>
    <w:basedOn w:val="95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9d8" w:themeFill="accent6" w:themeFillTint="34"/>
    </w:tblPr>
    <w:tblStylePr w:type="band1Horz">
      <w:tcPr>
        <w:shd w:val="clear" w:color="ffffff" w:themeColor="accent6" w:themeTint="75" w:fill="fbcda8" w:themeFill="accent6" w:themeFillTint="75"/>
      </w:tcPr>
    </w:tblStylePr>
    <w:tblStylePr w:type="band1Vert">
      <w:tcPr>
        <w:shd w:val="clear" w:color="ffffff" w:themeColor="accent6" w:themeTint="75" w:fill="fbcda8" w:themeFill="accent6" w:themeFillTint="75"/>
      </w:tcPr>
    </w:tblStylePr>
    <w:tblStylePr w:type="firstCol">
      <w:rPr>
        <w:rFonts w:ascii="Arial" w:hAnsi="Arial"/>
        <w:b/>
        <w:color w:val="ffffff"/>
        <w:sz w:val="22"/>
      </w:rPr>
      <w:tcPr>
        <w:shd w:val="clear" w:color="ffffff" w:themeColor="accent6" w:fill="f79646" w:themeFill="accent6"/>
      </w:tcPr>
    </w:tblStylePr>
    <w:tblStylePr w:type="firstRow">
      <w:rPr>
        <w:rFonts w:ascii="Arial" w:hAnsi="Arial"/>
        <w:b/>
        <w:color w:val="ffffff"/>
        <w:sz w:val="22"/>
      </w:rPr>
      <w:tcPr>
        <w:shd w:val="clear" w:color="ffffff" w:themeColor="accent6" w:fill="f79646" w:themeFill="accent6"/>
      </w:tcPr>
    </w:tblStylePr>
    <w:tblStylePr w:type="lastCol">
      <w:rPr>
        <w:rFonts w:ascii="Arial" w:hAnsi="Arial"/>
        <w:b/>
        <w:color w:val="ffffff"/>
        <w:sz w:val="22"/>
      </w:rPr>
      <w:tcPr>
        <w:shd w:val="clear" w:color="ffffff" w:themeColor="accent6" w:fill="f79646" w:themeFill="accent6"/>
      </w:tcPr>
    </w:tblStylePr>
    <w:tblStylePr w:type="lastRow">
      <w:rPr>
        <w:rFonts w:ascii="Arial" w:hAnsi="Arial"/>
        <w:b/>
        <w:color w:val="ffffff"/>
        <w:sz w:val="22"/>
      </w:rPr>
      <w:tcPr>
        <w:shd w:val="clear" w:color="ffffff" w:themeColor="accent6" w:fill="f79646" w:themeFill="accent6"/>
        <w:tcBorders>
          <w:top w:val="single" w:color="000000" w:themeColor="light1" w:sz="4" w:space="0"/>
        </w:tcBorders>
      </w:tcPr>
    </w:tblStylePr>
  </w:style>
  <w:style w:type="table" w:styleId="855">
    <w:name w:val="Grid Table 6 Colorful"/>
    <w:basedOn w:val="959"/>
    <w:uiPriority w:val="99"/>
    <w:pPr>
      <w:spacing w:after="0" w:line="240" w:lineRule="auto"/>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04040" w:themeColor="text1" w:themeTint="80" w:themeShade="95"/>
        <w:sz w:val="22"/>
      </w:rPr>
      <w:tcPr>
        <w:shd w:val="clear" w:color="ffffff" w:themeColor="text1" w:themeTint="34" w:fill="cbcbcb" w:themeFill="text1" w:themeFillTint="34"/>
      </w:tcPr>
    </w:tblStylePr>
    <w:tblStylePr w:type="band1Vert">
      <w:tcPr>
        <w:shd w:val="clear" w:color="ffffff" w:themeColor="text1" w:themeTint="34" w:fill="cbcbcb"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themeColor="text1" w:themeTint="80" w:sz="12" w:space="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856">
    <w:name w:val="Grid Table 6 Colorful - Accent 1"/>
    <w:basedOn w:val="959"/>
    <w:uiPriority w:val="99"/>
    <w:pPr>
      <w:spacing w:after="0" w:line="240" w:lineRule="auto"/>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404040"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404040" w:themeColor="accent1" w:themeTint="80" w:themeShade="95"/>
        <w:sz w:val="22"/>
      </w:rPr>
    </w:tblStylePr>
    <w:tblStylePr w:type="firstCol">
      <w:rPr>
        <w:b/>
        <w:color w:val="3e70a3" w:themeColor="accent1" w:themeTint="80" w:themeShade="95"/>
      </w:rPr>
    </w:tblStylePr>
    <w:tblStylePr w:type="firstRow">
      <w:rPr>
        <w:b/>
        <w:color w:val="3e70a3" w:themeColor="accent1" w:themeTint="80" w:themeShade="95"/>
      </w:rPr>
      <w:tcPr>
        <w:tcBorders>
          <w:bottom w:val="single" w:color="000000" w:themeColor="accent1" w:themeTint="80" w:sz="12" w:space="0"/>
        </w:tcBorders>
      </w:tcPr>
    </w:tblStylePr>
    <w:tblStylePr w:type="lastCol">
      <w:rPr>
        <w:b/>
        <w:color w:val="3e70a3" w:themeColor="accent1" w:themeTint="80" w:themeShade="95"/>
      </w:rPr>
    </w:tblStylePr>
    <w:tblStylePr w:type="lastRow">
      <w:rPr>
        <w:b/>
        <w:color w:val="3e70a3" w:themeColor="accent1" w:themeTint="80" w:themeShade="95"/>
      </w:rPr>
    </w:tblStylePr>
    <w:tblStylePr w:type="wholeTable">
      <w:rPr>
        <w:rFonts w:ascii="Arial" w:hAnsi="Arial"/>
        <w:color w:val="404040" w:themeColor="accent1" w:themeTint="80" w:themeShade="95"/>
        <w:sz w:val="22"/>
      </w:rPr>
    </w:tblStylePr>
  </w:style>
  <w:style w:type="table" w:styleId="857">
    <w:name w:val="Grid Table 6 Colorful - Accent 2"/>
    <w:basedOn w:val="959"/>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12" w:space="0"/>
        </w:tcBorders>
      </w:tcPr>
    </w:tblStylePr>
    <w:tblStylePr w:type="lastCol">
      <w:rPr>
        <w:b/>
        <w:color w:val="9c3a37" w:themeColor="accent2" w:themeTint="97" w:themeShade="95"/>
      </w:rPr>
    </w:tblStylePr>
    <w:tblStylePr w:type="lastRow">
      <w:rPr>
        <w:b/>
        <w:color w:val="9c3a37" w:themeColor="accent2" w:themeTint="97" w:themeShade="95"/>
      </w:rPr>
    </w:tblStylePr>
    <w:tblStylePr w:type="wholeTable">
      <w:rPr>
        <w:rFonts w:ascii="Arial" w:hAnsi="Arial"/>
        <w:color w:val="404040" w:themeColor="accent2" w:themeTint="97" w:themeShade="95"/>
        <w:sz w:val="22"/>
      </w:rPr>
    </w:tblStylePr>
  </w:style>
  <w:style w:type="table" w:styleId="858">
    <w:name w:val="Grid Table 6 Colorful - Accent 3"/>
    <w:basedOn w:val="959"/>
    <w:uiPriority w:val="99"/>
    <w:pPr>
      <w:spacing w:after="0" w:line="240" w:lineRule="auto"/>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404040" w:themeColor="accent3" w:themeTint="FE" w:themeShade="95"/>
        <w:sz w:val="22"/>
      </w:rPr>
    </w:tblStylePr>
    <w:tblStylePr w:type="firstCol">
      <w:rPr>
        <w:b/>
        <w:color w:val="5c702f" w:themeColor="accent3" w:themeTint="FE" w:themeShade="95"/>
      </w:rPr>
    </w:tblStylePr>
    <w:tblStylePr w:type="firstRow">
      <w:rPr>
        <w:b/>
        <w:color w:val="5c702f" w:themeColor="accent3" w:themeTint="FE" w:themeShade="95"/>
      </w:rPr>
      <w:tcPr>
        <w:tcBorders>
          <w:bottom w:val="single" w:color="000000" w:themeColor="accent3" w:themeTint="FE" w:sz="12" w:space="0"/>
        </w:tcBorders>
      </w:tcPr>
    </w:tblStylePr>
    <w:tblStylePr w:type="lastCol">
      <w:rPr>
        <w:b/>
        <w:color w:val="5c702f" w:themeColor="accent3" w:themeTint="FE" w:themeShade="95"/>
      </w:rPr>
    </w:tblStylePr>
    <w:tblStylePr w:type="lastRow">
      <w:rPr>
        <w:b/>
        <w:color w:val="5c702f" w:themeColor="accent3" w:themeTint="FE" w:themeShade="95"/>
      </w:rPr>
    </w:tblStylePr>
    <w:tblStylePr w:type="wholeTable">
      <w:rPr>
        <w:rFonts w:ascii="Arial" w:hAnsi="Arial"/>
        <w:color w:val="404040" w:themeColor="accent3" w:themeTint="FE" w:themeShade="95"/>
        <w:sz w:val="22"/>
      </w:rPr>
    </w:tblStylePr>
  </w:style>
  <w:style w:type="table" w:styleId="859">
    <w:name w:val="Grid Table 6 Colorful - Accent 4"/>
    <w:basedOn w:val="959"/>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12" w:space="0"/>
        </w:tcBorders>
      </w:tcPr>
    </w:tblStylePr>
    <w:tblStylePr w:type="lastCol">
      <w:rPr>
        <w:b/>
        <w:color w:val="664f82" w:themeColor="accent4" w:themeTint="9A" w:themeShade="95"/>
      </w:rPr>
    </w:tblStylePr>
    <w:tblStylePr w:type="lastRow">
      <w:rPr>
        <w:b/>
        <w:color w:val="664f82" w:themeColor="accent4" w:themeTint="9A" w:themeShade="95"/>
      </w:rPr>
    </w:tblStylePr>
    <w:tblStylePr w:type="wholeTable">
      <w:rPr>
        <w:rFonts w:ascii="Arial" w:hAnsi="Arial"/>
        <w:color w:val="404040" w:themeColor="accent4" w:themeTint="9A" w:themeShade="95"/>
        <w:sz w:val="22"/>
      </w:rPr>
    </w:tblStylePr>
  </w:style>
  <w:style w:type="table" w:styleId="860">
    <w:name w:val="Grid Table 6 Colorful - Accent 5"/>
    <w:basedOn w:val="959"/>
    <w:uiPriority w:val="99"/>
    <w:pPr>
      <w:spacing w:after="0" w:line="240" w:lineRule="auto"/>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5"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861">
    <w:name w:val="Grid Table 6 Colorful - Accent 6"/>
    <w:basedOn w:val="959"/>
    <w:uiPriority w:val="99"/>
    <w:pPr>
      <w:spacing w:after="0" w:line="240" w:lineRule="auto"/>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themeColor="accent5"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6"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862">
    <w:name w:val="Grid Table 7 Colorful"/>
    <w:basedOn w:val="959"/>
    <w:uiPriority w:val="99"/>
    <w:pPr>
      <w:spacing w:after="0" w:line="240" w:lineRule="auto"/>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style>
  <w:style w:type="table" w:styleId="863">
    <w:name w:val="Grid Table 7 Colorful - Accent 1"/>
    <w:basedOn w:val="959"/>
    <w:uiPriority w:val="99"/>
    <w:pPr>
      <w:spacing w:after="0" w:line="240" w:lineRule="auto"/>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3e70a3"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3e70a3" w:themeColor="accent1" w:themeTint="80" w:themeShade="95"/>
        <w:sz w:val="22"/>
      </w:rPr>
    </w:tblStylePr>
    <w:tblStylePr w:type="firstCol">
      <w:rPr>
        <w:rFonts w:ascii="Arial" w:hAnsi="Arial"/>
        <w:i/>
        <w:color w:val="3e70a3" w:themeColor="accent1" w:themeTint="80" w:themeShade="95"/>
        <w:sz w:val="22"/>
      </w:rPr>
      <w:pPr>
        <w:jc w:val="right"/>
      </w:p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70a3" w:themeColor="accent1" w:themeTint="80" w:themeShade="95"/>
        <w:sz w:val="22"/>
      </w:r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70a3" w:themeColor="accent1" w:themeTint="80" w:themeShade="95"/>
        <w:sz w:val="22"/>
      </w:r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70a3" w:themeColor="accent1" w:themeTint="80" w:themeShade="95"/>
        <w:sz w:val="22"/>
      </w:r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style>
  <w:style w:type="table" w:styleId="864">
    <w:name w:val="Grid Table 7 Colorful - Accent 2"/>
    <w:basedOn w:val="959"/>
    <w:uiPriority w:val="99"/>
    <w:pPr>
      <w:spacing w:after="0" w:line="240" w:lineRule="auto"/>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c3a37" w:themeColor="accent2" w:themeTint="97" w:themeShade="95"/>
        <w:sz w:val="22"/>
      </w:r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c3a37" w:themeColor="accent2" w:themeTint="97" w:themeShade="95"/>
        <w:sz w:val="22"/>
      </w:r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c3a37" w:themeColor="accent2" w:themeTint="97" w:themeShade="95"/>
        <w:sz w:val="22"/>
      </w:r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style>
  <w:style w:type="table" w:styleId="865">
    <w:name w:val="Grid Table 7 Colorful - Accent 3"/>
    <w:basedOn w:val="959"/>
    <w:uiPriority w:val="99"/>
    <w:pPr>
      <w:spacing w:after="0" w:line="240" w:lineRule="auto"/>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5c702f"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5c702f" w:themeColor="accent3" w:themeTint="FE" w:themeShade="95"/>
        <w:sz w:val="22"/>
      </w:rPr>
    </w:tblStylePr>
    <w:tblStylePr w:type="firstCol">
      <w:rPr>
        <w:rFonts w:ascii="Arial" w:hAnsi="Arial"/>
        <w:i/>
        <w:color w:val="5c702f" w:themeColor="accent3" w:themeTint="FE" w:themeShade="95"/>
        <w:sz w:val="22"/>
      </w:rPr>
      <w:pPr>
        <w:jc w:val="right"/>
      </w:p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02f" w:themeColor="accent3" w:themeTint="FE" w:themeShade="95"/>
        <w:sz w:val="22"/>
      </w:r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02f" w:themeColor="accent3" w:themeTint="FE" w:themeShade="95"/>
        <w:sz w:val="22"/>
      </w:r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02f" w:themeColor="accent3" w:themeTint="FE" w:themeShade="95"/>
        <w:sz w:val="22"/>
      </w:r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style>
  <w:style w:type="table" w:styleId="866">
    <w:name w:val="Grid Table 7 Colorful - Accent 4"/>
    <w:basedOn w:val="959"/>
    <w:uiPriority w:val="99"/>
    <w:pPr>
      <w:spacing w:after="0" w:line="240" w:lineRule="auto"/>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2" w:themeColor="accent4" w:themeTint="9A" w:themeShade="95"/>
        <w:sz w:val="22"/>
      </w:r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2" w:themeColor="accent4" w:themeTint="9A" w:themeShade="95"/>
        <w:sz w:val="22"/>
      </w:r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2" w:themeColor="accent4" w:themeTint="9A" w:themeShade="95"/>
        <w:sz w:val="22"/>
      </w:r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style>
  <w:style w:type="table" w:styleId="867">
    <w:name w:val="Grid Table 7 Colorful - Accent 5"/>
    <w:basedOn w:val="959"/>
    <w:uiPriority w:val="99"/>
    <w:pPr>
      <w:spacing w:after="0" w:line="240" w:lineRule="auto"/>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266777"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266777" w:themeColor="accent5" w:themeShade="95"/>
        <w:sz w:val="22"/>
      </w:rPr>
    </w:tblStylePr>
    <w:tblStylePr w:type="firstCol">
      <w:rPr>
        <w:rFonts w:ascii="Arial" w:hAnsi="Arial"/>
        <w:i/>
        <w:color w:val="266777" w:themeColor="accent5" w:themeShade="95"/>
        <w:sz w:val="22"/>
      </w:rPr>
      <w:pPr>
        <w:jc w:val="right"/>
      </w:p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777" w:themeColor="accent5" w:themeShade="95"/>
        <w:sz w:val="22"/>
      </w:r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777" w:themeColor="accent5" w:themeShade="95"/>
        <w:sz w:val="22"/>
      </w:r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777" w:themeColor="accent5" w:themeShade="95"/>
        <w:sz w:val="22"/>
      </w:r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style>
  <w:style w:type="table" w:styleId="868">
    <w:name w:val="Grid Table 7 Colorful - Accent 6"/>
    <w:basedOn w:val="959"/>
    <w:uiPriority w:val="99"/>
    <w:pPr>
      <w:spacing w:after="0" w:line="240" w:lineRule="auto"/>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b05307" w:themeColor="accent6"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b05307" w:themeColor="accent6" w:themeShade="95"/>
        <w:sz w:val="22"/>
      </w:rPr>
    </w:tblStylePr>
    <w:tblStylePr w:type="firstCol">
      <w:rPr>
        <w:rFonts w:ascii="Arial" w:hAnsi="Arial"/>
        <w:i/>
        <w:color w:val="b05307" w:themeColor="accent6" w:themeShade="95"/>
        <w:sz w:val="22"/>
      </w:rPr>
      <w:pPr>
        <w:jc w:val="right"/>
      </w:p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05307" w:themeColor="accent6" w:themeShade="95"/>
        <w:sz w:val="22"/>
      </w:r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05307" w:themeColor="accent6" w:themeShade="95"/>
        <w:sz w:val="22"/>
      </w:r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05307" w:themeColor="accent6" w:themeShade="95"/>
        <w:sz w:val="22"/>
      </w:r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style>
  <w:style w:type="table" w:styleId="869">
    <w:name w:val="List Table 1 Light"/>
    <w:basedOn w:val="959"/>
    <w:uiPriority w:val="99"/>
    <w:pPr>
      <w:spacing w:after="0" w:line="240" w:lineRule="auto"/>
    </w:pPr>
    <w:tblPr>
      <w:tblStyleRowBandSize w:val="1"/>
      <w:tblStyleColBandSize w:val="1"/>
      <w:tblInd w:w="0" w:type="dxa"/>
    </w:tblPr>
    <w:tblStylePr w:type="band1Horz">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870">
    <w:name w:val="List Table 1 Light - Accent 1"/>
    <w:basedOn w:val="959"/>
    <w:uiPriority w:val="99"/>
    <w:pPr>
      <w:spacing w:after="0" w:line="240" w:lineRule="auto"/>
    </w:pPr>
    <w:tblPr>
      <w:tblStyleRowBandSize w:val="1"/>
      <w:tblStyleColBandSize w:val="1"/>
      <w:tblInd w:w="0" w:type="dxa"/>
    </w:tblPr>
    <w:tblStylePr w:type="band1Horz">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tblStylePr>
    <w:tblStylePr w:type="lastRow">
      <w:rPr>
        <w:b/>
        <w:color w:val="404040"/>
      </w:rPr>
      <w:tcPr>
        <w:tcBorders>
          <w:top w:val="single" w:color="000000" w:themeColor="accent1" w:sz="4" w:space="0"/>
          <w:left w:val="none" w:color="000000" w:sz="4" w:space="0"/>
          <w:bottom w:val="none" w:color="000000" w:sz="4" w:space="0"/>
          <w:right w:val="none" w:color="000000" w:sz="4" w:space="0"/>
        </w:tcBorders>
      </w:tcPr>
    </w:tblStylePr>
  </w:style>
  <w:style w:type="table" w:styleId="871">
    <w:name w:val="List Table 1 Light - Accent 2"/>
    <w:basedOn w:val="959"/>
    <w:uiPriority w:val="99"/>
    <w:pPr>
      <w:spacing w:after="0" w:line="240" w:lineRule="auto"/>
    </w:pPr>
    <w:tblPr>
      <w:tblStyleRowBandSize w:val="1"/>
      <w:tblStyleColBandSize w:val="1"/>
      <w:tblInd w:w="0" w:type="dxa"/>
    </w:tblPr>
    <w:tblStylePr w:type="band1Horz">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tblStylePr>
    <w:tblStylePr w:type="lastRow">
      <w:rPr>
        <w:b/>
        <w:color w:val="404040"/>
      </w:rPr>
      <w:tcPr>
        <w:tcBorders>
          <w:top w:val="single" w:color="000000" w:themeColor="accent2" w:sz="4" w:space="0"/>
          <w:left w:val="none" w:color="000000" w:sz="4" w:space="0"/>
          <w:bottom w:val="none" w:color="000000" w:sz="4" w:space="0"/>
          <w:right w:val="none" w:color="000000" w:sz="4" w:space="0"/>
        </w:tcBorders>
      </w:tcPr>
    </w:tblStylePr>
  </w:style>
  <w:style w:type="table" w:styleId="872">
    <w:name w:val="List Table 1 Light - Accent 3"/>
    <w:basedOn w:val="959"/>
    <w:uiPriority w:val="99"/>
    <w:pPr>
      <w:spacing w:after="0" w:line="240" w:lineRule="auto"/>
    </w:pPr>
    <w:tblPr>
      <w:tblStyleRowBandSize w:val="1"/>
      <w:tblStyleColBandSize w:val="1"/>
      <w:tblInd w:w="0" w:type="dxa"/>
    </w:tblPr>
    <w:tblStylePr w:type="band1Horz">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tblStylePr>
    <w:tblStylePr w:type="lastRow">
      <w:rPr>
        <w:b/>
        <w:color w:val="404040"/>
      </w:rPr>
      <w:tcPr>
        <w:tcBorders>
          <w:top w:val="single" w:color="000000" w:themeColor="accent3" w:sz="4" w:space="0"/>
          <w:left w:val="none" w:color="000000" w:sz="4" w:space="0"/>
          <w:bottom w:val="none" w:color="000000" w:sz="4" w:space="0"/>
          <w:right w:val="none" w:color="000000" w:sz="4" w:space="0"/>
        </w:tcBorders>
      </w:tcPr>
    </w:tblStylePr>
  </w:style>
  <w:style w:type="table" w:styleId="873">
    <w:name w:val="List Table 1 Light - Accent 4"/>
    <w:basedOn w:val="959"/>
    <w:uiPriority w:val="99"/>
    <w:pPr>
      <w:spacing w:after="0" w:line="240" w:lineRule="auto"/>
    </w:pPr>
    <w:tblPr>
      <w:tblStyleRowBandSize w:val="1"/>
      <w:tblStyleColBandSize w:val="1"/>
      <w:tblInd w:w="0" w:type="dxa"/>
    </w:tblPr>
    <w:tblStylePr w:type="band1Horz">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tblStylePr>
    <w:tblStylePr w:type="lastRow">
      <w:rPr>
        <w:b/>
        <w:color w:val="404040"/>
      </w:rPr>
      <w:tcPr>
        <w:tcBorders>
          <w:top w:val="single" w:color="000000" w:themeColor="accent4" w:sz="4" w:space="0"/>
          <w:left w:val="none" w:color="000000" w:sz="4" w:space="0"/>
          <w:bottom w:val="none" w:color="000000" w:sz="4" w:space="0"/>
          <w:right w:val="none" w:color="000000" w:sz="4" w:space="0"/>
        </w:tcBorders>
      </w:tcPr>
    </w:tblStylePr>
  </w:style>
  <w:style w:type="table" w:styleId="874">
    <w:name w:val="List Table 1 Light - Accent 5"/>
    <w:basedOn w:val="959"/>
    <w:uiPriority w:val="99"/>
    <w:pPr>
      <w:spacing w:after="0" w:line="240" w:lineRule="auto"/>
    </w:pPr>
    <w:tblPr>
      <w:tblStyleRowBandSize w:val="1"/>
      <w:tblStyleColBandSize w:val="1"/>
      <w:tblInd w:w="0" w:type="dxa"/>
    </w:tblPr>
    <w:tblStylePr w:type="band1Horz">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tblStylePr>
    <w:tblStylePr w:type="lastRow">
      <w:rPr>
        <w:b/>
        <w:color w:val="404040"/>
      </w:rPr>
      <w:tcPr>
        <w:tcBorders>
          <w:top w:val="single" w:color="000000" w:themeColor="accent5" w:sz="4" w:space="0"/>
          <w:left w:val="none" w:color="000000" w:sz="4" w:space="0"/>
          <w:bottom w:val="none" w:color="000000" w:sz="4" w:space="0"/>
          <w:right w:val="none" w:color="000000" w:sz="4" w:space="0"/>
        </w:tcBorders>
      </w:tcPr>
    </w:tblStylePr>
  </w:style>
  <w:style w:type="table" w:styleId="875">
    <w:name w:val="List Table 1 Light - Accent 6"/>
    <w:basedOn w:val="959"/>
    <w:uiPriority w:val="99"/>
    <w:pPr>
      <w:spacing w:after="0" w:line="240" w:lineRule="auto"/>
    </w:pPr>
    <w:tblPr>
      <w:tblStyleRowBandSize w:val="1"/>
      <w:tblStyleColBandSize w:val="1"/>
      <w:tblInd w:w="0" w:type="dxa"/>
    </w:tblPr>
    <w:tblStylePr w:type="band1Horz">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tblStylePr>
    <w:tblStylePr w:type="lastRow">
      <w:rPr>
        <w:b/>
        <w:color w:val="404040"/>
      </w:rPr>
      <w:tcPr>
        <w:tcBorders>
          <w:top w:val="single" w:color="000000" w:themeColor="accent6" w:sz="4" w:space="0"/>
          <w:left w:val="none" w:color="000000" w:sz="4" w:space="0"/>
          <w:bottom w:val="none" w:color="000000" w:sz="4" w:space="0"/>
          <w:right w:val="none" w:color="000000" w:sz="4" w:space="0"/>
        </w:tcBorders>
      </w:tcPr>
    </w:tblStylePr>
  </w:style>
  <w:style w:type="table" w:styleId="876">
    <w:name w:val="List Table 2"/>
    <w:basedOn w:val="959"/>
    <w:uiPriority w:val="99"/>
    <w:pPr>
      <w:spacing w:after="0" w:line="240" w:lineRule="auto"/>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style>
  <w:style w:type="table" w:styleId="877">
    <w:name w:val="List Table 2 - Accent 1"/>
    <w:basedOn w:val="959"/>
    <w:uiPriority w:val="99"/>
    <w:pPr>
      <w:spacing w:after="0" w:line="240" w:lineRule="auto"/>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style>
  <w:style w:type="table" w:styleId="878">
    <w:name w:val="List Table 2 - Accent 2"/>
    <w:basedOn w:val="959"/>
    <w:uiPriority w:val="99"/>
    <w:pPr>
      <w:spacing w:after="0" w:line="240" w:lineRule="auto"/>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style>
  <w:style w:type="table" w:styleId="879">
    <w:name w:val="List Table 2 - Accent 3"/>
    <w:basedOn w:val="959"/>
    <w:uiPriority w:val="99"/>
    <w:pPr>
      <w:spacing w:after="0" w:line="240" w:lineRule="auto"/>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style>
  <w:style w:type="table" w:styleId="880">
    <w:name w:val="List Table 2 - Accent 4"/>
    <w:basedOn w:val="959"/>
    <w:uiPriority w:val="99"/>
    <w:pPr>
      <w:spacing w:after="0" w:line="240" w:lineRule="auto"/>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style>
  <w:style w:type="table" w:styleId="881">
    <w:name w:val="List Table 2 - Accent 5"/>
    <w:basedOn w:val="959"/>
    <w:uiPriority w:val="99"/>
    <w:pPr>
      <w:spacing w:after="0" w:line="240" w:lineRule="auto"/>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style>
  <w:style w:type="table" w:styleId="882">
    <w:name w:val="List Table 2 - Accent 6"/>
    <w:basedOn w:val="959"/>
    <w:uiPriority w:val="99"/>
    <w:pPr>
      <w:spacing w:after="0" w:line="240" w:lineRule="auto"/>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style>
  <w:style w:type="table" w:styleId="883">
    <w:name w:val="List Table 3"/>
    <w:basedOn w:val="959"/>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884">
    <w:name w:val="List Table 3 - Accent 1"/>
    <w:basedOn w:val="959"/>
    <w:uiPriority w:val="99"/>
    <w:pPr>
      <w:spacing w:after="0" w:line="240" w:lineRule="auto"/>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blStylePr w:type="band1Horz">
      <w:rPr>
        <w:rFonts w:ascii="Arial" w:hAnsi="Arial"/>
        <w:color w:val="404040"/>
        <w:sz w:val="22"/>
      </w:rPr>
      <w:tcPr>
        <w:tcBorders>
          <w:top w:val="single" w:color="000000" w:themeColor="accent1" w:sz="4" w:space="0"/>
          <w:bottom w:val="single" w:color="000000" w:themeColor="accent1" w:sz="4" w:space="0"/>
        </w:tcBorders>
      </w:tcPr>
    </w:tblStylePr>
    <w:tblStylePr w:type="band1Vert">
      <w:rPr>
        <w:rFonts w:ascii="Arial" w:hAnsi="Arial"/>
        <w:color w:val="404040"/>
        <w:sz w:val="22"/>
      </w:rPr>
      <w:tcPr>
        <w:tcBorders>
          <w:left w:val="single" w:color="000000" w:themeColor="accent1" w:sz="4" w:space="0"/>
          <w:right w:val="single" w:color="000000" w:themeColor="accent1" w:sz="4" w:space="0"/>
        </w:tcBorders>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885">
    <w:name w:val="List Table 3 - Accent 2"/>
    <w:basedOn w:val="959"/>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blStylePr w:type="band1Horz">
      <w:rPr>
        <w:rFonts w:ascii="Arial" w:hAnsi="Arial"/>
        <w:color w:val="404040"/>
        <w:sz w:val="22"/>
      </w:r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tcPr>
        <w:tcBorders>
          <w:left w:val="single" w:color="000000" w:themeColor="accent2" w:themeTint="97" w:sz="4" w:space="0"/>
          <w:right w:val="single" w:color="000000" w:themeColor="accent2" w:themeTint="97" w:sz="4" w:space="0"/>
        </w:tcBorders>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Pr>
    </w:tblStylePr>
    <w:tblStylePr w:type="lastCol">
      <w:rPr>
        <w:b/>
        <w:color w:val="404040"/>
      </w:rPr>
    </w:tblStylePr>
    <w:tblStylePr w:type="lastRow">
      <w:rPr>
        <w:b/>
        <w:color w:val="404040"/>
      </w:rPr>
    </w:tblStylePr>
  </w:style>
  <w:style w:type="table" w:styleId="886">
    <w:name w:val="List Table 3 - Accent 3"/>
    <w:basedOn w:val="959"/>
    <w:uiPriority w:val="99"/>
    <w:pPr>
      <w:spacing w:after="0" w:line="240" w:lineRule="auto"/>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blStylePr w:type="band1Horz">
      <w:rPr>
        <w:rFonts w:ascii="Arial" w:hAnsi="Arial"/>
        <w:color w:val="404040"/>
        <w:sz w:val="22"/>
      </w:r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tcPr>
        <w:tcBorders>
          <w:left w:val="single" w:color="000000" w:themeColor="accent3" w:themeTint="98" w:sz="4" w:space="0"/>
          <w:right w:val="single" w:color="000000" w:themeColor="accent3" w:themeTint="98" w:sz="4" w:space="0"/>
        </w:tcBorders>
      </w:tcPr>
    </w:tblStylePr>
    <w:tblStylePr w:type="firstCol">
      <w:rPr>
        <w:b/>
        <w:color w:val="404040"/>
      </w:rPr>
    </w:tblStylePr>
    <w:tblStylePr w:type="firstRow">
      <w:rPr>
        <w:rFonts w:ascii="Arial" w:hAnsi="Arial"/>
        <w:b/>
        <w:color w:val="ffffff"/>
        <w:sz w:val="22"/>
      </w:rPr>
      <w:tcPr>
        <w:shd w:val="clear" w:color="ffffff" w:themeColor="accent3" w:themeTint="98" w:fill="c3d69b" w:themeFill="accent3" w:themeFillTint="98"/>
      </w:tcPr>
    </w:tblStylePr>
    <w:tblStylePr w:type="lastCol">
      <w:rPr>
        <w:b/>
        <w:color w:val="404040"/>
      </w:rPr>
    </w:tblStylePr>
    <w:tblStylePr w:type="lastRow">
      <w:rPr>
        <w:b/>
        <w:color w:val="404040"/>
      </w:rPr>
    </w:tblStylePr>
  </w:style>
  <w:style w:type="table" w:styleId="887">
    <w:name w:val="List Table 3 - Accent 4"/>
    <w:basedOn w:val="959"/>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blStylePr w:type="band1Horz">
      <w:rPr>
        <w:rFonts w:ascii="Arial" w:hAnsi="Arial"/>
        <w:color w:val="404040"/>
        <w:sz w:val="22"/>
      </w:r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tcPr>
        <w:tcBorders>
          <w:left w:val="single" w:color="000000" w:themeColor="accent4" w:themeTint="9A" w:sz="4" w:space="0"/>
          <w:right w:val="single" w:color="000000" w:themeColor="accent4" w:themeTint="9A" w:sz="4" w:space="0"/>
        </w:tcBorders>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Pr>
    </w:tblStylePr>
    <w:tblStylePr w:type="lastCol">
      <w:rPr>
        <w:b/>
        <w:color w:val="404040"/>
      </w:rPr>
    </w:tblStylePr>
    <w:tblStylePr w:type="lastRow">
      <w:rPr>
        <w:b/>
        <w:color w:val="404040"/>
      </w:rPr>
    </w:tblStylePr>
  </w:style>
  <w:style w:type="table" w:styleId="888">
    <w:name w:val="List Table 3 - Accent 5"/>
    <w:basedOn w:val="959"/>
    <w:uiPriority w:val="99"/>
    <w:pPr>
      <w:spacing w:after="0" w:line="240" w:lineRule="auto"/>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blStylePr w:type="band1Horz">
      <w:rPr>
        <w:rFonts w:ascii="Arial" w:hAnsi="Arial"/>
        <w:color w:val="404040"/>
        <w:sz w:val="22"/>
      </w:r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tcPr>
        <w:tcBorders>
          <w:left w:val="single" w:color="000000" w:themeColor="accent5" w:themeTint="9A" w:sz="4" w:space="0"/>
          <w:right w:val="single" w:color="000000" w:themeColor="accent5" w:themeTint="9A" w:sz="4" w:space="0"/>
        </w:tcBorders>
      </w:tcPr>
    </w:tblStylePr>
    <w:tblStylePr w:type="firstCol">
      <w:rPr>
        <w:b/>
        <w:color w:val="404040"/>
      </w:rPr>
    </w:tblStylePr>
    <w:tblStylePr w:type="firstRow">
      <w:rPr>
        <w:rFonts w:ascii="Arial" w:hAnsi="Arial"/>
        <w:b/>
        <w:color w:val="ffffff"/>
        <w:sz w:val="22"/>
      </w:rPr>
      <w:tcPr>
        <w:shd w:val="clear" w:color="ffffff" w:themeColor="accent5" w:themeTint="9A" w:fill="91cddc" w:themeFill="accent5" w:themeFillTint="9A"/>
      </w:tcPr>
    </w:tblStylePr>
    <w:tblStylePr w:type="lastCol">
      <w:rPr>
        <w:b/>
        <w:color w:val="404040"/>
      </w:rPr>
    </w:tblStylePr>
    <w:tblStylePr w:type="lastRow">
      <w:rPr>
        <w:b/>
        <w:color w:val="404040"/>
      </w:rPr>
    </w:tblStylePr>
  </w:style>
  <w:style w:type="table" w:styleId="889">
    <w:name w:val="List Table 3 - Accent 6"/>
    <w:basedOn w:val="959"/>
    <w:uiPriority w:val="99"/>
    <w:pPr>
      <w:spacing w:after="0" w:line="240" w:lineRule="auto"/>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blStylePr w:type="band1Horz">
      <w:rPr>
        <w:rFonts w:ascii="Arial" w:hAnsi="Arial"/>
        <w:color w:val="404040"/>
        <w:sz w:val="22"/>
      </w:r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tcPr>
        <w:tcBorders>
          <w:left w:val="single" w:color="000000" w:themeColor="accent6" w:themeTint="98" w:sz="4" w:space="0"/>
          <w:right w:val="single" w:color="000000" w:themeColor="accent6" w:themeTint="98" w:sz="4" w:space="0"/>
        </w:tcBorders>
      </w:tcPr>
    </w:tblStylePr>
    <w:tblStylePr w:type="firstCol">
      <w:rPr>
        <w:b/>
        <w:color w:val="404040"/>
      </w:rPr>
    </w:tblStylePr>
    <w:tblStylePr w:type="firstRow">
      <w:rPr>
        <w:rFonts w:ascii="Arial" w:hAnsi="Arial"/>
        <w:b/>
        <w:color w:val="ffffff"/>
        <w:sz w:val="22"/>
      </w:rPr>
      <w:tcPr>
        <w:shd w:val="clear" w:color="ffffff" w:themeColor="accent6" w:themeTint="98" w:fill="f9bf90" w:themeFill="accent6" w:themeFillTint="98"/>
      </w:tcPr>
    </w:tblStylePr>
    <w:tblStylePr w:type="lastCol">
      <w:rPr>
        <w:b/>
        <w:color w:val="404040"/>
      </w:rPr>
    </w:tblStylePr>
    <w:tblStylePr w:type="lastRow">
      <w:rPr>
        <w:b/>
        <w:color w:val="404040"/>
      </w:rPr>
    </w:tblStylePr>
  </w:style>
  <w:style w:type="table" w:styleId="890">
    <w:name w:val="List Table 4"/>
    <w:basedOn w:val="959"/>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891">
    <w:name w:val="List Table 4 - Accent 1"/>
    <w:basedOn w:val="959"/>
    <w:uiPriority w:val="9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892">
    <w:name w:val="List Table 4 - Accent 2"/>
    <w:basedOn w:val="959"/>
    <w:uiPriority w:val="9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b/>
        <w:color w:val="404040"/>
      </w:rPr>
    </w:tblStylePr>
    <w:tblStylePr w:type="firstRow">
      <w:rPr>
        <w:rFonts w:ascii="Arial" w:hAnsi="Arial"/>
        <w:b/>
        <w:color w:val="ffffff"/>
        <w:sz w:val="22"/>
      </w:rPr>
      <w:tcPr>
        <w:shd w:val="clear" w:color="ffffff" w:themeColor="accent2" w:fill="c0504d" w:themeFill="accent2"/>
      </w:tcPr>
    </w:tblStylePr>
    <w:tblStylePr w:type="lastCol">
      <w:rPr>
        <w:b/>
        <w:color w:val="404040"/>
      </w:rPr>
    </w:tblStylePr>
    <w:tblStylePr w:type="lastRow">
      <w:rPr>
        <w:b/>
        <w:color w:val="404040"/>
      </w:rPr>
    </w:tblStylePr>
  </w:style>
  <w:style w:type="table" w:styleId="893">
    <w:name w:val="List Table 4 - Accent 3"/>
    <w:basedOn w:val="959"/>
    <w:uiPriority w:val="9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b/>
        <w:color w:val="404040"/>
      </w:rPr>
    </w:tblStylePr>
    <w:tblStylePr w:type="firstRow">
      <w:rPr>
        <w:rFonts w:ascii="Arial" w:hAnsi="Arial"/>
        <w:b/>
        <w:color w:val="ffffff"/>
        <w:sz w:val="22"/>
      </w:rPr>
      <w:tcPr>
        <w:shd w:val="clear" w:color="ffffff" w:themeColor="accent3" w:fill="9bbb59" w:themeFill="accent3"/>
      </w:tcPr>
    </w:tblStylePr>
    <w:tblStylePr w:type="lastCol">
      <w:rPr>
        <w:b/>
        <w:color w:val="404040"/>
      </w:rPr>
    </w:tblStylePr>
    <w:tblStylePr w:type="lastRow">
      <w:rPr>
        <w:b/>
        <w:color w:val="404040"/>
      </w:rPr>
    </w:tblStylePr>
  </w:style>
  <w:style w:type="table" w:styleId="894">
    <w:name w:val="List Table 4 - Accent 4"/>
    <w:basedOn w:val="959"/>
    <w:uiPriority w:val="9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ffffff" w:themeColor="accent4" w:fill="8064a2" w:themeFill="accent4"/>
      </w:tcPr>
    </w:tblStylePr>
    <w:tblStylePr w:type="lastCol">
      <w:rPr>
        <w:b/>
        <w:color w:val="404040"/>
      </w:rPr>
    </w:tblStylePr>
    <w:tblStylePr w:type="lastRow">
      <w:rPr>
        <w:b/>
        <w:color w:val="404040"/>
      </w:rPr>
    </w:tblStylePr>
  </w:style>
  <w:style w:type="table" w:styleId="895">
    <w:name w:val="List Table 4 - Accent 5"/>
    <w:basedOn w:val="959"/>
    <w:uiPriority w:val="9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ffffff" w:themeColor="accent5" w:fill="4bacc6" w:themeFill="accent5"/>
      </w:tcPr>
    </w:tblStylePr>
    <w:tblStylePr w:type="lastCol">
      <w:rPr>
        <w:b/>
        <w:color w:val="404040"/>
      </w:rPr>
    </w:tblStylePr>
    <w:tblStylePr w:type="lastRow">
      <w:rPr>
        <w:b/>
        <w:color w:val="404040"/>
      </w:rPr>
    </w:tblStylePr>
  </w:style>
  <w:style w:type="table" w:styleId="896">
    <w:name w:val="List Table 4 - Accent 6"/>
    <w:basedOn w:val="959"/>
    <w:uiPriority w:val="9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b/>
        <w:color w:val="404040"/>
      </w:rPr>
    </w:tblStylePr>
    <w:tblStylePr w:type="firstRow">
      <w:rPr>
        <w:rFonts w:ascii="Arial" w:hAnsi="Arial"/>
        <w:b/>
        <w:color w:val="ffffff"/>
        <w:sz w:val="22"/>
      </w:rPr>
      <w:tcPr>
        <w:shd w:val="clear" w:color="ffffff" w:themeColor="accent6" w:fill="f79646" w:themeFill="accent6"/>
      </w:tcPr>
    </w:tblStylePr>
    <w:tblStylePr w:type="lastCol">
      <w:rPr>
        <w:b/>
        <w:color w:val="404040"/>
      </w:rPr>
    </w:tblStylePr>
    <w:tblStylePr w:type="lastRow">
      <w:rPr>
        <w:b/>
        <w:color w:val="404040"/>
      </w:rPr>
    </w:tblStylePr>
  </w:style>
  <w:style w:type="table" w:styleId="897">
    <w:name w:val="List Table 5 Dark"/>
    <w:basedOn w:val="959"/>
    <w:uiPriority w:val="99"/>
    <w:pPr>
      <w:spacing w:after="0" w:line="240" w:lineRule="auto"/>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blStylePr w:type="band1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898">
    <w:name w:val="List Table 5 Dark - Accent 1"/>
    <w:basedOn w:val="959"/>
    <w:uiPriority w:val="99"/>
    <w:pPr>
      <w:spacing w:after="0" w:line="240" w:lineRule="auto"/>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blStylePr w:type="band1Horz">
      <w:tcPr>
        <w:shd w:val="clear" w:color="ffffff" w:themeColor="accent1" w:fill="4f81bd" w:themeFill="accent1"/>
        <w:tcBorders>
          <w:top w:val="single" w:color="000000" w:themeColor="light1" w:sz="4" w:space="0"/>
          <w:bottom w:val="single" w:color="000000" w:themeColor="light1" w:sz="4" w:space="0"/>
        </w:tcBorders>
      </w:tcPr>
    </w:tblStylePr>
    <w:tblStylePr w:type="band1Vert">
      <w:tcPr>
        <w:shd w:val="clear" w:color="ffffff" w:themeColor="accent1" w:fill="4f81bd" w:themeFill="accent1"/>
        <w:tcBorders>
          <w:left w:val="single" w:color="000000" w:themeColor="light1" w:sz="4" w:space="0"/>
          <w:right w:val="single" w:color="000000" w:themeColor="light1" w:sz="4" w:space="0"/>
        </w:tcBorders>
      </w:tcPr>
    </w:tblStylePr>
    <w:tblStylePr w:type="band2Horz">
      <w:tcPr>
        <w:shd w:val="clear" w:color="ffffff" w:themeColor="accent1" w:fill="4f81bd" w:themeFill="accent1"/>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tcPr>
        <w:shd w:val="clear" w:color="ffffff" w:themeColor="accent1" w:fill="4f81bd" w:themeFill="accent1"/>
        <w:tcBorders>
          <w:top w:val="single" w:color="000000" w:themeColor="accent1" w:sz="32" w:space="0"/>
          <w:bottom w:val="single" w:color="000000" w:themeColor="light1" w:sz="12" w:space="0"/>
        </w:tcBorders>
      </w:tcPr>
    </w:tblStylePr>
    <w:tblStylePr w:type="lastCol">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899">
    <w:name w:val="List Table 5 Dark - Accent 2"/>
    <w:basedOn w:val="959"/>
    <w:uiPriority w:val="99"/>
    <w:pPr>
      <w:spacing w:after="0" w:line="240" w:lineRule="auto"/>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99694" w:themeFill="accent2" w:themeFillTint="97"/>
    </w:tblPr>
    <w:tblStylePr w:type="band1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1Vert">
      <w:tcPr>
        <w:shd w:val="clear" w:color="ffffff" w:themeColor="accent2" w:themeTint="97" w:fill="d99694" w:themeFill="accent2" w:themeFillTint="97"/>
        <w:tcBorders>
          <w:left w:val="single" w:color="000000" w:themeColor="light1" w:sz="4" w:space="0"/>
          <w:right w:val="single" w:color="000000" w:themeColor="light1" w:sz="4" w:space="0"/>
        </w:tcBorders>
      </w:tcPr>
    </w:tblStylePr>
    <w:tblStylePr w:type="band2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tcPr>
        <w:shd w:val="clear" w:color="ffffff" w:themeColor="accent2" w:themeTint="97" w:fill="d99694" w:themeFill="accent2" w:themeFillTint="97"/>
        <w:tcBorders>
          <w:top w:val="single" w:color="000000" w:themeColor="accent2" w:themeTint="97" w:sz="32" w:space="0"/>
          <w:bottom w:val="single" w:color="000000" w:themeColor="light1" w:sz="12" w:space="0"/>
        </w:tcBorders>
      </w:tcPr>
    </w:tblStylePr>
    <w:tblStylePr w:type="lastCol">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900">
    <w:name w:val="List Table 5 Dark - Accent 3"/>
    <w:basedOn w:val="959"/>
    <w:uiPriority w:val="99"/>
    <w:pPr>
      <w:spacing w:after="0" w:line="240" w:lineRule="auto"/>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b" w:themeFill="accent3" w:themeFillTint="98"/>
    </w:tblPr>
    <w:tblStylePr w:type="band1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1Vert">
      <w:tcPr>
        <w:shd w:val="clear" w:color="ffffff" w:themeColor="accent3" w:themeTint="98" w:fill="c3d69b" w:themeFill="accent3" w:themeFillTint="98"/>
        <w:tcBorders>
          <w:left w:val="single" w:color="000000" w:themeColor="light1" w:sz="4" w:space="0"/>
          <w:right w:val="single" w:color="000000" w:themeColor="light1" w:sz="4" w:space="0"/>
        </w:tcBorders>
      </w:tcPr>
    </w:tblStylePr>
    <w:tblStylePr w:type="band2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3" w:themeTint="98" w:fill="c3d69b" w:themeFill="accent3" w:themeFillTint="98"/>
        <w:tcBorders>
          <w:top w:val="single" w:color="000000" w:themeColor="accent3" w:themeTint="98" w:sz="32" w:space="0"/>
          <w:bottom w:val="single" w:color="000000" w:themeColor="light1" w:sz="12" w:space="0"/>
        </w:tcBorders>
      </w:tcPr>
    </w:tblStylePr>
    <w:tblStylePr w:type="lastCol">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901">
    <w:name w:val="List Table 5 Dark - Accent 4"/>
    <w:basedOn w:val="959"/>
    <w:uiPriority w:val="99"/>
    <w:pPr>
      <w:spacing w:after="0" w:line="240" w:lineRule="auto"/>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6" w:themeFill="accent4" w:themeFillTint="9A"/>
    </w:tblPr>
    <w:tblStylePr w:type="band1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1Vert">
      <w:tcPr>
        <w:shd w:val="clear" w:color="ffffff" w:themeColor="accent4" w:themeTint="9A" w:fill="b2a1c6" w:themeFill="accent4" w:themeFillTint="9A"/>
        <w:tcBorders>
          <w:left w:val="single" w:color="000000" w:themeColor="light1" w:sz="4" w:space="0"/>
          <w:right w:val="single" w:color="000000" w:themeColor="light1" w:sz="4" w:space="0"/>
        </w:tcBorders>
      </w:tcPr>
    </w:tblStylePr>
    <w:tblStylePr w:type="band2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4" w:themeTint="9A" w:fill="b2a1c6" w:themeFill="accent4" w:themeFillTint="9A"/>
        <w:tcBorders>
          <w:top w:val="single" w:color="000000" w:themeColor="accent4" w:themeTint="9A" w:sz="32" w:space="0"/>
          <w:bottom w:val="single" w:color="000000" w:themeColor="light1" w:sz="12" w:space="0"/>
        </w:tcBorders>
      </w:tcPr>
    </w:tblStylePr>
    <w:tblStylePr w:type="lastCol">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902">
    <w:name w:val="List Table 5 Dark - Accent 5"/>
    <w:basedOn w:val="959"/>
    <w:uiPriority w:val="99"/>
    <w:pPr>
      <w:spacing w:after="0" w:line="240" w:lineRule="auto"/>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1cddc" w:themeFill="accent5" w:themeFillTint="9A"/>
    </w:tblPr>
    <w:tblStylePr w:type="band1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1Vert">
      <w:tcPr>
        <w:shd w:val="clear" w:color="ffffff" w:themeColor="accent5" w:themeTint="9A" w:fill="91cddc" w:themeFill="accent5" w:themeFillTint="9A"/>
        <w:tcBorders>
          <w:left w:val="single" w:color="000000" w:themeColor="light1" w:sz="4" w:space="0"/>
          <w:right w:val="single" w:color="000000" w:themeColor="light1" w:sz="4" w:space="0"/>
        </w:tcBorders>
      </w:tcPr>
    </w:tblStylePr>
    <w:tblStylePr w:type="band2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5" w:themeTint="9A" w:fill="91cddc" w:themeFill="accent5" w:themeFillTint="9A"/>
        <w:tcBorders>
          <w:top w:val="single" w:color="000000" w:themeColor="accent5" w:themeTint="9A" w:sz="32" w:space="0"/>
          <w:bottom w:val="single" w:color="000000" w:themeColor="light1" w:sz="12" w:space="0"/>
        </w:tcBorders>
      </w:tcPr>
    </w:tblStylePr>
    <w:tblStylePr w:type="lastCol">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903">
    <w:name w:val="List Table 5 Dark - Accent 6"/>
    <w:basedOn w:val="959"/>
    <w:uiPriority w:val="99"/>
    <w:pPr>
      <w:spacing w:after="0" w:line="240" w:lineRule="auto"/>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9bf90" w:themeFill="accent6" w:themeFillTint="98"/>
    </w:tblPr>
    <w:tblStylePr w:type="band1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1Vert">
      <w:tcPr>
        <w:shd w:val="clear" w:color="ffffff" w:themeColor="accent6" w:themeTint="98" w:fill="f9bf90" w:themeFill="accent6" w:themeFillTint="98"/>
        <w:tcBorders>
          <w:left w:val="single" w:color="000000" w:themeColor="light1" w:sz="4" w:space="0"/>
          <w:right w:val="single" w:color="000000" w:themeColor="light1" w:sz="4" w:space="0"/>
        </w:tcBorders>
      </w:tcPr>
    </w:tblStylePr>
    <w:tblStylePr w:type="band2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6" w:themeTint="98" w:fill="f9bf90" w:themeFill="accent6" w:themeFillTint="98"/>
        <w:tcBorders>
          <w:top w:val="single" w:color="000000" w:themeColor="accent6" w:themeTint="98" w:sz="32" w:space="0"/>
          <w:bottom w:val="single" w:color="000000" w:themeColor="light1" w:sz="12" w:space="0"/>
        </w:tcBorders>
      </w:tcPr>
    </w:tblStylePr>
    <w:tblStylePr w:type="lastCol">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904">
    <w:name w:val="List Table 6 Colorful"/>
    <w:basedOn w:val="959"/>
    <w:uiPriority w:val="99"/>
    <w:pPr>
      <w:spacing w:after="0" w:line="240" w:lineRule="auto"/>
    </w:pPr>
    <w:tblPr>
      <w:tblStyleRowBandSize w:val="1"/>
      <w:tblStyleColBandSize w:val="1"/>
      <w:tblInd w:w="0" w:type="dxa"/>
      <w:tblBorders>
        <w:top w:val="single" w:color="000000" w:themeColor="text1" w:themeTint="80" w:sz="4" w:space="0"/>
        <w:bottom w:val="single" w:color="000000" w:themeColor="text1" w:themeTint="80" w:sz="4" w:space="0"/>
      </w:tblBorders>
    </w:tblPr>
    <w:tblStylePr w:type="band1Horz">
      <w:rPr>
        <w:rFonts w:ascii="Arial" w:hAnsi="Arial"/>
        <w:color w:val="404040" w:themeColor="text1"/>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themeColor="text1" w:themeTint="80" w:sz="4" w:space="0"/>
        </w:tcBorders>
      </w:tcPr>
    </w:tblStylePr>
    <w:tblStylePr w:type="lastCol">
      <w:rPr>
        <w:b/>
        <w:color w:val="000000" w:themeColor="text1"/>
      </w:rPr>
    </w:tblStylePr>
    <w:tblStylePr w:type="lastRow">
      <w:rPr>
        <w:b/>
        <w:color w:val="000000" w:themeColor="text1"/>
      </w:rPr>
      <w:tcPr>
        <w:tcBorders>
          <w:top w:val="single" w:color="000000" w:themeColor="text1" w:themeTint="80" w:sz="4" w:space="0"/>
        </w:tcBorders>
      </w:tcPr>
    </w:tblStylePr>
  </w:style>
  <w:style w:type="table" w:styleId="905">
    <w:name w:val="List Table 6 Colorful - Accent 1"/>
    <w:basedOn w:val="959"/>
    <w:uiPriority w:val="99"/>
    <w:pPr>
      <w:spacing w:after="0" w:line="240" w:lineRule="auto"/>
    </w:pPr>
    <w:tblPr>
      <w:tblStyleRowBandSize w:val="1"/>
      <w:tblStyleColBandSize w:val="1"/>
      <w:tblInd w:w="0" w:type="dxa"/>
      <w:tblBorders>
        <w:top w:val="single" w:color="000000" w:themeColor="accent1" w:sz="4" w:space="0"/>
        <w:bottom w:val="single" w:color="000000" w:themeColor="accent1" w:sz="4" w:space="0"/>
      </w:tblBorders>
    </w:tblPr>
    <w:tblStylePr w:type="band1Horz">
      <w:rPr>
        <w:rFonts w:ascii="Arial" w:hAnsi="Arial"/>
        <w:color w:val="404040"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404040" w:themeColor="accent1" w:themeShade="95"/>
        <w:sz w:val="22"/>
      </w:rPr>
    </w:tblStylePr>
    <w:tblStylePr w:type="firstCol">
      <w:rPr>
        <w:b/>
        <w:color w:val="2a4b71" w:themeColor="accent1" w:themeShade="95"/>
      </w:rPr>
    </w:tblStylePr>
    <w:tblStylePr w:type="firstRow">
      <w:rPr>
        <w:b/>
        <w:color w:val="2a4b71" w:themeColor="accent1" w:themeShade="95"/>
      </w:rPr>
      <w:tcPr>
        <w:tcBorders>
          <w:bottom w:val="single" w:color="000000" w:themeColor="accent1" w:sz="4" w:space="0"/>
        </w:tcBorders>
      </w:tcPr>
    </w:tblStylePr>
    <w:tblStylePr w:type="lastCol">
      <w:rPr>
        <w:b/>
        <w:color w:val="2a4b71" w:themeColor="accent1" w:themeShade="95"/>
      </w:rPr>
    </w:tblStylePr>
    <w:tblStylePr w:type="lastRow">
      <w:rPr>
        <w:b/>
        <w:color w:val="2a4b71" w:themeColor="accent1" w:themeShade="95"/>
      </w:rPr>
      <w:tcPr>
        <w:tcBorders>
          <w:top w:val="single" w:color="000000" w:themeColor="accent1" w:sz="4" w:space="0"/>
        </w:tcBorders>
      </w:tcPr>
    </w:tblStylePr>
  </w:style>
  <w:style w:type="table" w:styleId="906">
    <w:name w:val="List Table 6 Colorful - Accent 2"/>
    <w:basedOn w:val="959"/>
    <w:uiPriority w:val="99"/>
    <w:pPr>
      <w:spacing w:after="0" w:line="240" w:lineRule="auto"/>
    </w:pPr>
    <w:tblPr>
      <w:tblStyleRowBandSize w:val="1"/>
      <w:tblStyleColBandSize w:val="1"/>
      <w:tblInd w:w="0" w:type="dxa"/>
      <w:tblBorders>
        <w:top w:val="single" w:color="000000" w:themeColor="accent2" w:themeTint="97" w:sz="4" w:space="0"/>
        <w:bottom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4" w:space="0"/>
        </w:tcBorders>
      </w:tcPr>
    </w:tblStylePr>
    <w:tblStylePr w:type="lastCol">
      <w:rPr>
        <w:b/>
        <w:color w:val="9c3a37" w:themeColor="accent2" w:themeTint="97" w:themeShade="95"/>
      </w:rPr>
    </w:tblStylePr>
    <w:tblStylePr w:type="lastRow">
      <w:rPr>
        <w:b/>
        <w:color w:val="9c3a37" w:themeColor="accent2" w:themeTint="97" w:themeShade="95"/>
      </w:rPr>
      <w:tcPr>
        <w:tcBorders>
          <w:top w:val="single" w:color="000000" w:themeColor="accent2" w:themeTint="97" w:sz="4" w:space="0"/>
        </w:tcBorders>
      </w:tcPr>
    </w:tblStylePr>
  </w:style>
  <w:style w:type="table" w:styleId="907">
    <w:name w:val="List Table 6 Colorful - Accent 3"/>
    <w:basedOn w:val="959"/>
    <w:uiPriority w:val="99"/>
    <w:pPr>
      <w:spacing w:after="0" w:line="240" w:lineRule="auto"/>
    </w:pPr>
    <w:tblPr>
      <w:tblStyleRowBandSize w:val="1"/>
      <w:tblStyleColBandSize w:val="1"/>
      <w:tblInd w:w="0" w:type="dxa"/>
      <w:tblBorders>
        <w:top w:val="single" w:color="000000" w:themeColor="accent3" w:themeTint="98" w:sz="4" w:space="0"/>
        <w:bottom w:val="single" w:color="000000" w:themeColor="accent3" w:themeTint="98" w:sz="4" w:space="0"/>
      </w:tblBorders>
    </w:tblPr>
    <w:tblStylePr w:type="band1Horz">
      <w:rPr>
        <w:rFonts w:ascii="Arial" w:hAnsi="Arial"/>
        <w:color w:val="404040"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404040" w:themeColor="accent3" w:themeTint="98" w:themeShade="95"/>
        <w:sz w:val="22"/>
      </w:rPr>
    </w:tblStylePr>
    <w:tblStylePr w:type="firstCol">
      <w:rPr>
        <w:b/>
        <w:color w:val="7c983f" w:themeColor="accent3" w:themeTint="98" w:themeShade="95"/>
      </w:rPr>
    </w:tblStylePr>
    <w:tblStylePr w:type="firstRow">
      <w:rPr>
        <w:b/>
        <w:color w:val="7c983f" w:themeColor="accent3" w:themeTint="98" w:themeShade="95"/>
      </w:rPr>
      <w:tcPr>
        <w:tcBorders>
          <w:bottom w:val="single" w:color="000000" w:themeColor="accent3" w:themeTint="98" w:sz="4" w:space="0"/>
        </w:tcBorders>
      </w:tcPr>
    </w:tblStylePr>
    <w:tblStylePr w:type="lastCol">
      <w:rPr>
        <w:b/>
        <w:color w:val="7c983f" w:themeColor="accent3" w:themeTint="98" w:themeShade="95"/>
      </w:rPr>
    </w:tblStylePr>
    <w:tblStylePr w:type="lastRow">
      <w:rPr>
        <w:b/>
        <w:color w:val="7c983f" w:themeColor="accent3" w:themeTint="98" w:themeShade="95"/>
      </w:rPr>
      <w:tcPr>
        <w:tcBorders>
          <w:top w:val="single" w:color="000000" w:themeColor="accent3" w:themeTint="98" w:sz="4" w:space="0"/>
        </w:tcBorders>
      </w:tcPr>
    </w:tblStylePr>
  </w:style>
  <w:style w:type="table" w:styleId="908">
    <w:name w:val="List Table 6 Colorful - Accent 4"/>
    <w:basedOn w:val="959"/>
    <w:uiPriority w:val="99"/>
    <w:pPr>
      <w:spacing w:after="0" w:line="240" w:lineRule="auto"/>
    </w:pPr>
    <w:tblPr>
      <w:tblStyleRowBandSize w:val="1"/>
      <w:tblStyleColBandSize w:val="1"/>
      <w:tblInd w:w="0" w:type="dxa"/>
      <w:tblBorders>
        <w:top w:val="single" w:color="000000" w:themeColor="accent4" w:themeTint="9A" w:sz="4" w:space="0"/>
        <w:bottom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4" w:space="0"/>
        </w:tcBorders>
      </w:tcPr>
    </w:tblStylePr>
    <w:tblStylePr w:type="lastCol">
      <w:rPr>
        <w:b/>
        <w:color w:val="664f82" w:themeColor="accent4" w:themeTint="9A" w:themeShade="95"/>
      </w:rPr>
    </w:tblStylePr>
    <w:tblStylePr w:type="lastRow">
      <w:rPr>
        <w:b/>
        <w:color w:val="664f82" w:themeColor="accent4" w:themeTint="9A" w:themeShade="95"/>
      </w:rPr>
      <w:tcPr>
        <w:tcBorders>
          <w:top w:val="single" w:color="000000" w:themeColor="accent4" w:themeTint="9A" w:sz="4" w:space="0"/>
        </w:tcBorders>
      </w:tcPr>
    </w:tblStylePr>
  </w:style>
  <w:style w:type="table" w:styleId="909">
    <w:name w:val="List Table 6 Colorful - Accent 5"/>
    <w:basedOn w:val="959"/>
    <w:uiPriority w:val="99"/>
    <w:pPr>
      <w:spacing w:after="0" w:line="240" w:lineRule="auto"/>
    </w:pPr>
    <w:tblPr>
      <w:tblStyleRowBandSize w:val="1"/>
      <w:tblStyleColBandSize w:val="1"/>
      <w:tblInd w:w="0" w:type="dxa"/>
      <w:tblBorders>
        <w:top w:val="single" w:color="000000" w:themeColor="accent5" w:themeTint="9A" w:sz="4" w:space="0"/>
        <w:bottom w:val="single" w:color="000000" w:themeColor="accent5" w:themeTint="9A" w:sz="4" w:space="0"/>
      </w:tblBorders>
    </w:tblPr>
    <w:tblStylePr w:type="band1Horz">
      <w:rPr>
        <w:rFonts w:ascii="Arial" w:hAnsi="Arial"/>
        <w:color w:val="40404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404040" w:themeColor="accent5" w:themeTint="9A" w:themeShade="95"/>
        <w:sz w:val="22"/>
      </w:rPr>
    </w:tblStylePr>
    <w:tblStylePr w:type="firstCol">
      <w:rPr>
        <w:b/>
        <w:color w:val="338aa0" w:themeColor="accent5" w:themeTint="9A" w:themeShade="95"/>
      </w:rPr>
    </w:tblStylePr>
    <w:tblStylePr w:type="firstRow">
      <w:rPr>
        <w:b/>
        <w:color w:val="338aa0" w:themeColor="accent5" w:themeTint="9A" w:themeShade="95"/>
      </w:rPr>
      <w:tcPr>
        <w:tcBorders>
          <w:bottom w:val="single" w:color="000000" w:themeColor="accent5" w:themeTint="9A" w:sz="4" w:space="0"/>
        </w:tcBorders>
      </w:tcPr>
    </w:tblStylePr>
    <w:tblStylePr w:type="lastCol">
      <w:rPr>
        <w:b/>
        <w:color w:val="338aa0" w:themeColor="accent5" w:themeTint="9A" w:themeShade="95"/>
      </w:rPr>
    </w:tblStylePr>
    <w:tblStylePr w:type="lastRow">
      <w:rPr>
        <w:b/>
        <w:color w:val="338aa0" w:themeColor="accent5" w:themeTint="9A" w:themeShade="95"/>
      </w:rPr>
      <w:tcPr>
        <w:tcBorders>
          <w:top w:val="single" w:color="000000" w:themeColor="accent5" w:themeTint="9A" w:sz="4" w:space="0"/>
        </w:tcBorders>
      </w:tcPr>
    </w:tblStylePr>
  </w:style>
  <w:style w:type="table" w:styleId="910">
    <w:name w:val="List Table 6 Colorful - Accent 6"/>
    <w:basedOn w:val="959"/>
    <w:uiPriority w:val="99"/>
    <w:pPr>
      <w:spacing w:after="0" w:line="240" w:lineRule="auto"/>
    </w:pPr>
    <w:tblPr>
      <w:tblStyleRowBandSize w:val="1"/>
      <w:tblStyleColBandSize w:val="1"/>
      <w:tblInd w:w="0" w:type="dxa"/>
      <w:tblBorders>
        <w:top w:val="single" w:color="000000" w:themeColor="accent6" w:themeTint="98" w:sz="4" w:space="0"/>
        <w:bottom w:val="single" w:color="000000" w:themeColor="accent6" w:themeTint="98" w:sz="4" w:space="0"/>
      </w:tblBorders>
    </w:tblPr>
    <w:tblStylePr w:type="band1Horz">
      <w:rPr>
        <w:rFonts w:ascii="Arial" w:hAnsi="Arial"/>
        <w:color w:val="404040"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404040" w:themeColor="accent6" w:themeTint="98" w:themeShade="95"/>
        <w:sz w:val="22"/>
      </w:rPr>
    </w:tblStylePr>
    <w:tblStylePr w:type="firstCol">
      <w:rPr>
        <w:b/>
        <w:color w:val="d9680c" w:themeColor="accent6" w:themeTint="98" w:themeShade="95"/>
      </w:rPr>
    </w:tblStylePr>
    <w:tblStylePr w:type="firstRow">
      <w:rPr>
        <w:b/>
        <w:color w:val="d9680c" w:themeColor="accent6" w:themeTint="98" w:themeShade="95"/>
      </w:rPr>
      <w:tcPr>
        <w:tcBorders>
          <w:bottom w:val="single" w:color="000000" w:themeColor="accent6" w:themeTint="98" w:sz="4" w:space="0"/>
        </w:tcBorders>
      </w:tcPr>
    </w:tblStylePr>
    <w:tblStylePr w:type="lastCol">
      <w:rPr>
        <w:b/>
        <w:color w:val="d9680c" w:themeColor="accent6" w:themeTint="98" w:themeShade="95"/>
      </w:rPr>
    </w:tblStylePr>
    <w:tblStylePr w:type="lastRow">
      <w:rPr>
        <w:b/>
        <w:color w:val="d9680c" w:themeColor="accent6" w:themeTint="98" w:themeShade="95"/>
      </w:rPr>
      <w:tcPr>
        <w:tcBorders>
          <w:top w:val="single" w:color="000000" w:themeColor="accent6" w:themeTint="98" w:sz="4" w:space="0"/>
        </w:tcBorders>
      </w:tcPr>
    </w:tblStylePr>
  </w:style>
  <w:style w:type="table" w:styleId="911">
    <w:name w:val="List Table 7 Colorful"/>
    <w:basedOn w:val="959"/>
    <w:uiPriority w:val="99"/>
    <w:pPr>
      <w:spacing w:after="0" w:line="240" w:lineRule="auto"/>
    </w:pPr>
    <w:tblPr>
      <w:tblStyleRowBandSize w:val="1"/>
      <w:tblStyleColBandSize w:val="1"/>
      <w:tblInd w:w="0" w:type="dxa"/>
      <w:tblBorders>
        <w:right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wholeTable">
      <w:rPr>
        <w:rFonts w:ascii="Arial" w:hAnsi="Arial"/>
        <w:color w:val="4a4a4a" w:themeColor="text1" w:themeTint="80" w:themeShade="95"/>
        <w:sz w:val="22"/>
      </w:rPr>
    </w:tblStylePr>
  </w:style>
  <w:style w:type="table" w:styleId="912">
    <w:name w:val="List Table 7 Colorful - Accent 1"/>
    <w:basedOn w:val="959"/>
    <w:uiPriority w:val="99"/>
    <w:pPr>
      <w:spacing w:after="0" w:line="240" w:lineRule="auto"/>
    </w:pPr>
    <w:tblPr>
      <w:tblStyleRowBandSize w:val="1"/>
      <w:tblStyleColBandSize w:val="1"/>
      <w:tblInd w:w="0" w:type="dxa"/>
      <w:tblBorders>
        <w:right w:val="single" w:color="000000" w:themeColor="accent1" w:sz="4" w:space="0"/>
      </w:tblBorders>
    </w:tblPr>
    <w:tblStylePr w:type="band1Horz">
      <w:rPr>
        <w:rFonts w:ascii="Arial" w:hAnsi="Arial"/>
        <w:color w:val="2a4b71"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2a4b71" w:themeColor="accent1" w:themeShade="95"/>
        <w:sz w:val="22"/>
      </w:rPr>
    </w:tblStylePr>
    <w:tblStylePr w:type="firstCol">
      <w:rPr>
        <w:rFonts w:ascii="Arial" w:hAnsi="Arial"/>
        <w:i/>
        <w:color w:val="2a4b71" w:themeColor="accent1" w:themeShade="95"/>
        <w:sz w:val="22"/>
      </w:rPr>
      <w:pPr>
        <w:jc w:val="right"/>
      </w:p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a4b71" w:themeColor="accent1" w:themeShade="95"/>
        <w:sz w:val="22"/>
      </w:r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a4b71" w:themeColor="accent1" w:themeShade="95"/>
        <w:sz w:val="22"/>
      </w:r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a4b71" w:themeColor="accent1" w:themeShade="95"/>
        <w:sz w:val="22"/>
      </w:r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wholeTable">
      <w:rPr>
        <w:rFonts w:ascii="Arial" w:hAnsi="Arial"/>
        <w:color w:val="2a4b71" w:themeColor="accent1" w:themeShade="95"/>
        <w:sz w:val="22"/>
      </w:rPr>
    </w:tblStylePr>
  </w:style>
  <w:style w:type="table" w:styleId="913">
    <w:name w:val="List Table 7 Colorful - Accent 2"/>
    <w:basedOn w:val="959"/>
    <w:uiPriority w:val="99"/>
    <w:pPr>
      <w:spacing w:after="0" w:line="240" w:lineRule="auto"/>
    </w:pPr>
    <w:tblPr>
      <w:tblStyleRowBandSize w:val="1"/>
      <w:tblStyleColBandSize w:val="1"/>
      <w:tblInd w:w="0" w:type="dxa"/>
      <w:tblBorders>
        <w:right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c3a37" w:themeColor="accent2" w:themeTint="97" w:themeShade="95"/>
        <w:sz w:val="22"/>
      </w:r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c3a37" w:themeColor="accent2" w:themeTint="97" w:themeShade="95"/>
        <w:sz w:val="22"/>
      </w:r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c3a37" w:themeColor="accent2" w:themeTint="97" w:themeShade="95"/>
        <w:sz w:val="22"/>
      </w:r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wholeTable">
      <w:rPr>
        <w:rFonts w:ascii="Arial" w:hAnsi="Arial"/>
        <w:color w:val="9c3a37" w:themeColor="accent2" w:themeTint="97" w:themeShade="95"/>
        <w:sz w:val="22"/>
      </w:rPr>
    </w:tblStylePr>
  </w:style>
  <w:style w:type="table" w:styleId="914">
    <w:name w:val="List Table 7 Colorful - Accent 3"/>
    <w:basedOn w:val="959"/>
    <w:uiPriority w:val="99"/>
    <w:pPr>
      <w:spacing w:after="0" w:line="240" w:lineRule="auto"/>
    </w:pPr>
    <w:tblPr>
      <w:tblStyleRowBandSize w:val="1"/>
      <w:tblStyleColBandSize w:val="1"/>
      <w:tblInd w:w="0" w:type="dxa"/>
      <w:tblBorders>
        <w:right w:val="single" w:color="000000" w:themeColor="accent3" w:themeTint="98" w:sz="4" w:space="0"/>
      </w:tblBorders>
    </w:tblPr>
    <w:tblStylePr w:type="band1Horz">
      <w:rPr>
        <w:rFonts w:ascii="Arial" w:hAnsi="Arial"/>
        <w:color w:val="7c983f"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7c983f" w:themeColor="accent3" w:themeTint="98" w:themeShade="95"/>
        <w:sz w:val="22"/>
      </w:rPr>
    </w:tblStylePr>
    <w:tblStylePr w:type="firstCol">
      <w:rPr>
        <w:rFonts w:ascii="Arial" w:hAnsi="Arial"/>
        <w:i/>
        <w:color w:val="7c983f" w:themeColor="accent3" w:themeTint="98" w:themeShade="95"/>
        <w:sz w:val="22"/>
      </w:rPr>
      <w:pPr>
        <w:jc w:val="right"/>
      </w:p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83f" w:themeColor="accent3" w:themeTint="98" w:themeShade="95"/>
        <w:sz w:val="22"/>
      </w:r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83f" w:themeColor="accent3" w:themeTint="98" w:themeShade="95"/>
        <w:sz w:val="22"/>
      </w:r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83f" w:themeColor="accent3" w:themeTint="98" w:themeShade="95"/>
        <w:sz w:val="22"/>
      </w:r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wholeTable">
      <w:rPr>
        <w:rFonts w:ascii="Arial" w:hAnsi="Arial"/>
        <w:color w:val="7c983f" w:themeColor="accent3" w:themeTint="98" w:themeShade="95"/>
        <w:sz w:val="22"/>
      </w:rPr>
    </w:tblStylePr>
  </w:style>
  <w:style w:type="table" w:styleId="915">
    <w:name w:val="List Table 7 Colorful - Accent 4"/>
    <w:basedOn w:val="959"/>
    <w:uiPriority w:val="99"/>
    <w:pPr>
      <w:spacing w:after="0" w:line="240" w:lineRule="auto"/>
    </w:pPr>
    <w:tblPr>
      <w:tblStyleRowBandSize w:val="1"/>
      <w:tblStyleColBandSize w:val="1"/>
      <w:tblInd w:w="0" w:type="dxa"/>
      <w:tblBorders>
        <w:right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2" w:themeColor="accent4" w:themeTint="9A" w:themeShade="95"/>
        <w:sz w:val="22"/>
      </w:r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2" w:themeColor="accent4" w:themeTint="9A" w:themeShade="95"/>
        <w:sz w:val="22"/>
      </w:r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2" w:themeColor="accent4" w:themeTint="9A" w:themeShade="95"/>
        <w:sz w:val="22"/>
      </w:r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wholeTable">
      <w:rPr>
        <w:rFonts w:ascii="Arial" w:hAnsi="Arial"/>
        <w:color w:val="664f82" w:themeColor="accent4" w:themeTint="9A" w:themeShade="95"/>
        <w:sz w:val="22"/>
      </w:rPr>
    </w:tblStylePr>
  </w:style>
  <w:style w:type="table" w:styleId="916">
    <w:name w:val="List Table 7 Colorful - Accent 5"/>
    <w:basedOn w:val="959"/>
    <w:uiPriority w:val="99"/>
    <w:pPr>
      <w:spacing w:after="0" w:line="240" w:lineRule="auto"/>
    </w:pPr>
    <w:tblPr>
      <w:tblStyleRowBandSize w:val="1"/>
      <w:tblStyleColBandSize w:val="1"/>
      <w:tblInd w:w="0" w:type="dxa"/>
      <w:tblBorders>
        <w:right w:val="single" w:color="000000" w:themeColor="accent5" w:themeTint="9A" w:sz="4" w:space="0"/>
      </w:tblBorders>
    </w:tblPr>
    <w:tblStylePr w:type="band1Horz">
      <w:rPr>
        <w:rFonts w:ascii="Arial" w:hAnsi="Arial"/>
        <w:color w:val="338aa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338aa0" w:themeColor="accent5" w:themeTint="9A" w:themeShade="95"/>
        <w:sz w:val="22"/>
      </w:rPr>
    </w:tblStylePr>
    <w:tblStylePr w:type="firstCol">
      <w:rPr>
        <w:rFonts w:ascii="Arial" w:hAnsi="Arial"/>
        <w:i/>
        <w:color w:val="338aa0" w:themeColor="accent5" w:themeTint="9A" w:themeShade="95"/>
        <w:sz w:val="22"/>
      </w:rPr>
      <w:pPr>
        <w:jc w:val="right"/>
      </w:p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aa0" w:themeColor="accent5" w:themeTint="9A" w:themeShade="95"/>
        <w:sz w:val="22"/>
      </w:r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aa0" w:themeColor="accent5" w:themeTint="9A" w:themeShade="95"/>
        <w:sz w:val="22"/>
      </w:r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aa0" w:themeColor="accent5" w:themeTint="9A" w:themeShade="95"/>
        <w:sz w:val="22"/>
      </w:r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wholeTable">
      <w:rPr>
        <w:rFonts w:ascii="Arial" w:hAnsi="Arial"/>
        <w:color w:val="338aa0" w:themeColor="accent5" w:themeTint="9A" w:themeShade="95"/>
        <w:sz w:val="22"/>
      </w:rPr>
    </w:tblStylePr>
  </w:style>
  <w:style w:type="table" w:styleId="917">
    <w:name w:val="List Table 7 Colorful - Accent 6"/>
    <w:basedOn w:val="959"/>
    <w:uiPriority w:val="99"/>
    <w:pPr>
      <w:spacing w:after="0" w:line="240" w:lineRule="auto"/>
    </w:pPr>
    <w:tblPr>
      <w:tblStyleRowBandSize w:val="1"/>
      <w:tblStyleColBandSize w:val="1"/>
      <w:tblInd w:w="0" w:type="dxa"/>
      <w:tblBorders>
        <w:right w:val="single" w:color="000000" w:themeColor="accent6" w:themeTint="98" w:sz="4" w:space="0"/>
      </w:tblBorders>
    </w:tblPr>
    <w:tblStylePr w:type="band1Horz">
      <w:rPr>
        <w:rFonts w:ascii="Arial" w:hAnsi="Arial"/>
        <w:color w:val="d9680c"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d9680c" w:themeColor="accent6" w:themeTint="98" w:themeShade="95"/>
        <w:sz w:val="22"/>
      </w:rPr>
    </w:tblStylePr>
    <w:tblStylePr w:type="firstCol">
      <w:rPr>
        <w:rFonts w:ascii="Arial" w:hAnsi="Arial"/>
        <w:i/>
        <w:color w:val="d9680c" w:themeColor="accent6" w:themeTint="98" w:themeShade="95"/>
        <w:sz w:val="22"/>
      </w:rPr>
      <w:pPr>
        <w:jc w:val="right"/>
      </w:p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9680c" w:themeColor="accent6" w:themeTint="98" w:themeShade="95"/>
        <w:sz w:val="22"/>
      </w:r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9680c" w:themeColor="accent6" w:themeTint="98" w:themeShade="95"/>
        <w:sz w:val="22"/>
      </w:r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9680c" w:themeColor="accent6" w:themeTint="98" w:themeShade="95"/>
        <w:sz w:val="22"/>
      </w:r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wholeTable">
      <w:rPr>
        <w:rFonts w:ascii="Arial" w:hAnsi="Arial"/>
        <w:color w:val="d9680c" w:themeColor="accent6" w:themeTint="98" w:themeShade="95"/>
        <w:sz w:val="22"/>
      </w:rPr>
    </w:tblStylePr>
  </w:style>
  <w:style w:type="table" w:styleId="918">
    <w:name w:val="Lined - Accent"/>
    <w:basedOn w:val="95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919">
    <w:name w:val="Lined - Accent 1"/>
    <w:basedOn w:val="95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920">
    <w:name w:val="Lined - Accent 2"/>
    <w:basedOn w:val="95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921">
    <w:name w:val="Lined - Accent 3"/>
    <w:basedOn w:val="95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922">
    <w:name w:val="Lined - Accent 4"/>
    <w:basedOn w:val="95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923">
    <w:name w:val="Lined - Accent 5"/>
    <w:basedOn w:val="95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924">
    <w:name w:val="Lined - Accent 6"/>
    <w:basedOn w:val="95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925">
    <w:name w:val="Bordered &amp; Lined - Accent"/>
    <w:basedOn w:val="959"/>
    <w:uiPriority w:val="99"/>
    <w:pPr>
      <w:spacing w:after="0" w:line="240" w:lineRule="auto"/>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926">
    <w:name w:val="Bordered &amp; Lined - Accent 1"/>
    <w:basedOn w:val="959"/>
    <w:uiPriority w:val="99"/>
    <w:pPr>
      <w:spacing w:after="0" w:line="240" w:lineRule="auto"/>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927">
    <w:name w:val="Bordered &amp; Lined - Accent 2"/>
    <w:basedOn w:val="959"/>
    <w:uiPriority w:val="99"/>
    <w:pPr>
      <w:spacing w:after="0" w:line="240" w:lineRule="auto"/>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928">
    <w:name w:val="Bordered &amp; Lined - Accent 3"/>
    <w:basedOn w:val="959"/>
    <w:uiPriority w:val="99"/>
    <w:pPr>
      <w:spacing w:after="0" w:line="240" w:lineRule="auto"/>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929">
    <w:name w:val="Bordered &amp; Lined - Accent 4"/>
    <w:basedOn w:val="959"/>
    <w:uiPriority w:val="99"/>
    <w:pPr>
      <w:spacing w:after="0" w:line="240" w:lineRule="auto"/>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930">
    <w:name w:val="Bordered &amp; Lined - Accent 5"/>
    <w:basedOn w:val="959"/>
    <w:uiPriority w:val="99"/>
    <w:pPr>
      <w:spacing w:after="0" w:line="240" w:lineRule="auto"/>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931">
    <w:name w:val="Bordered &amp; Lined - Accent 6"/>
    <w:basedOn w:val="959"/>
    <w:uiPriority w:val="99"/>
    <w:pPr>
      <w:spacing w:after="0" w:line="240" w:lineRule="auto"/>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932">
    <w:name w:val="Bordered"/>
    <w:basedOn w:val="959"/>
    <w:uiPriority w:val="99"/>
    <w:pPr>
      <w:spacing w:after="0" w:line="240" w:lineRule="auto"/>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blStylePr w:type="band1Horz">
      <w:rPr>
        <w:rFonts w:ascii="Arial" w:hAnsi="Arial"/>
        <w:color w:val="404040"/>
        <w:sz w:val="22"/>
      </w:r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text1" w:themeTint="80" w:sz="12" w:space="0"/>
        </w:tcBorders>
      </w:tcPr>
    </w:tblStylePr>
    <w:tblStylePr w:type="lastCol">
      <w:rPr>
        <w:rFonts w:ascii="Arial" w:hAnsi="Arial"/>
        <w:color w:val="404040"/>
        <w:sz w:val="22"/>
      </w:rPr>
      <w:tcPr>
        <w:tcBorders>
          <w:left w:val="single" w:color="000000" w:themeColor="text1" w:themeTint="80" w:sz="12" w:space="0"/>
        </w:tcBorders>
      </w:tcPr>
    </w:tblStylePr>
    <w:tblStylePr w:type="lastRow">
      <w:rPr>
        <w:rFonts w:ascii="Arial" w:hAnsi="Arial"/>
        <w:color w:val="404040"/>
        <w:sz w:val="22"/>
      </w:rPr>
      <w:tcPr>
        <w:tcBorders>
          <w:top w:val="single" w:color="000000" w:themeColor="text1" w:themeTint="80" w:sz="12" w:space="0"/>
        </w:tcBorders>
      </w:tcPr>
    </w:tblStylePr>
  </w:style>
  <w:style w:type="table" w:styleId="933">
    <w:name w:val="Bordered - Accent 1"/>
    <w:basedOn w:val="959"/>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1" w:sz="12" w:space="0"/>
        </w:tcBorders>
      </w:tcPr>
    </w:tblStylePr>
    <w:tblStylePr w:type="lastCol">
      <w:rPr>
        <w:rFonts w:ascii="Arial" w:hAnsi="Arial"/>
        <w:color w:val="404040"/>
        <w:sz w:val="22"/>
      </w:rPr>
      <w:tcPr>
        <w:tcBorders>
          <w:left w:val="single" w:color="000000" w:themeColor="accent1" w:sz="12" w:space="0"/>
        </w:tcBorders>
      </w:tcPr>
    </w:tblStylePr>
    <w:tblStylePr w:type="lastRow">
      <w:rPr>
        <w:rFonts w:ascii="Arial" w:hAnsi="Arial"/>
        <w:color w:val="404040"/>
        <w:sz w:val="22"/>
      </w:rPr>
      <w:tcPr>
        <w:tcBorders>
          <w:top w:val="single" w:color="000000" w:themeColor="accent1" w:sz="12" w:space="0"/>
        </w:tcBorders>
      </w:tcPr>
    </w:tblStylePr>
  </w:style>
  <w:style w:type="table" w:styleId="934">
    <w:name w:val="Bordered - Accent 2"/>
    <w:basedOn w:val="959"/>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2" w:themeTint="97" w:sz="12" w:space="0"/>
        </w:tcBorders>
      </w:tcPr>
    </w:tblStylePr>
    <w:tblStylePr w:type="lastCol">
      <w:rPr>
        <w:rFonts w:ascii="Arial" w:hAnsi="Arial"/>
        <w:color w:val="404040"/>
        <w:sz w:val="22"/>
      </w:rPr>
      <w:tcPr>
        <w:tcBorders>
          <w:left w:val="single" w:color="000000" w:themeColor="accent2" w:themeTint="97" w:sz="12" w:space="0"/>
        </w:tcBorders>
      </w:tcPr>
    </w:tblStylePr>
    <w:tblStylePr w:type="lastRow">
      <w:rPr>
        <w:rFonts w:ascii="Arial" w:hAnsi="Arial"/>
        <w:color w:val="404040"/>
        <w:sz w:val="22"/>
      </w:rPr>
      <w:tcPr>
        <w:tcBorders>
          <w:top w:val="single" w:color="000000" w:themeColor="accent2" w:themeTint="97" w:sz="12" w:space="0"/>
        </w:tcBorders>
      </w:tcPr>
    </w:tblStylePr>
  </w:style>
  <w:style w:type="table" w:styleId="935">
    <w:name w:val="Bordered - Accent 3"/>
    <w:basedOn w:val="959"/>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3" w:themeTint="98" w:sz="12" w:space="0"/>
        </w:tcBorders>
      </w:tcPr>
    </w:tblStylePr>
    <w:tblStylePr w:type="lastCol">
      <w:rPr>
        <w:rFonts w:ascii="Arial" w:hAnsi="Arial"/>
        <w:color w:val="404040"/>
        <w:sz w:val="22"/>
      </w:rPr>
      <w:tcPr>
        <w:tcBorders>
          <w:left w:val="single" w:color="000000" w:themeColor="accent3" w:themeTint="98" w:sz="12" w:space="0"/>
        </w:tcBorders>
      </w:tcPr>
    </w:tblStylePr>
    <w:tblStylePr w:type="lastRow">
      <w:rPr>
        <w:rFonts w:ascii="Arial" w:hAnsi="Arial"/>
        <w:color w:val="404040"/>
        <w:sz w:val="22"/>
      </w:rPr>
      <w:tcPr>
        <w:tcBorders>
          <w:top w:val="single" w:color="000000" w:themeColor="accent3" w:themeTint="98" w:sz="12" w:space="0"/>
        </w:tcBorders>
      </w:tcPr>
    </w:tblStylePr>
  </w:style>
  <w:style w:type="table" w:styleId="936">
    <w:name w:val="Bordered - Accent 4"/>
    <w:basedOn w:val="959"/>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4" w:themeTint="9A" w:sz="12" w:space="0"/>
        </w:tcBorders>
      </w:tcPr>
    </w:tblStylePr>
    <w:tblStylePr w:type="lastCol">
      <w:rPr>
        <w:rFonts w:ascii="Arial" w:hAnsi="Arial"/>
        <w:color w:val="404040"/>
        <w:sz w:val="22"/>
      </w:rPr>
      <w:tcPr>
        <w:tcBorders>
          <w:left w:val="single" w:color="000000" w:themeColor="accent4" w:themeTint="9A" w:sz="12" w:space="0"/>
        </w:tcBorders>
      </w:tcPr>
    </w:tblStylePr>
    <w:tblStylePr w:type="lastRow">
      <w:rPr>
        <w:rFonts w:ascii="Arial" w:hAnsi="Arial"/>
        <w:color w:val="404040"/>
        <w:sz w:val="22"/>
      </w:rPr>
      <w:tcPr>
        <w:tcBorders>
          <w:top w:val="single" w:color="000000" w:themeColor="accent4" w:themeTint="9A" w:sz="12" w:space="0"/>
        </w:tcBorders>
      </w:tcPr>
    </w:tblStylePr>
  </w:style>
  <w:style w:type="table" w:styleId="937">
    <w:name w:val="Bordered - Accent 5"/>
    <w:basedOn w:val="959"/>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5" w:themeTint="9A" w:sz="12" w:space="0"/>
        </w:tcBorders>
      </w:tcPr>
    </w:tblStylePr>
    <w:tblStylePr w:type="lastCol">
      <w:rPr>
        <w:rFonts w:ascii="Arial" w:hAnsi="Arial"/>
        <w:color w:val="404040"/>
        <w:sz w:val="22"/>
      </w:rPr>
      <w:tcPr>
        <w:tcBorders>
          <w:left w:val="single" w:color="000000" w:themeColor="accent5" w:themeTint="9A" w:sz="12" w:space="0"/>
        </w:tcBorders>
      </w:tcPr>
    </w:tblStylePr>
    <w:tblStylePr w:type="lastRow">
      <w:rPr>
        <w:rFonts w:ascii="Arial" w:hAnsi="Arial"/>
        <w:color w:val="404040"/>
        <w:sz w:val="22"/>
      </w:rPr>
      <w:tcPr>
        <w:tcBorders>
          <w:top w:val="single" w:color="000000" w:themeColor="accent5" w:themeTint="9A" w:sz="12" w:space="0"/>
        </w:tcBorders>
      </w:tcPr>
    </w:tblStylePr>
  </w:style>
  <w:style w:type="table" w:styleId="938">
    <w:name w:val="Bordered - Accent 6"/>
    <w:basedOn w:val="959"/>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6" w:themeTint="98" w:sz="12" w:space="0"/>
        </w:tcBorders>
      </w:tcPr>
    </w:tblStylePr>
    <w:tblStylePr w:type="lastCol">
      <w:rPr>
        <w:rFonts w:ascii="Arial" w:hAnsi="Arial"/>
        <w:color w:val="404040"/>
        <w:sz w:val="22"/>
      </w:rPr>
      <w:tcPr>
        <w:tcBorders>
          <w:left w:val="single" w:color="000000" w:themeColor="accent6" w:themeTint="98" w:sz="12" w:space="0"/>
        </w:tcBorders>
      </w:tcPr>
    </w:tblStylePr>
    <w:tblStylePr w:type="lastRow">
      <w:rPr>
        <w:rFonts w:ascii="Arial" w:hAnsi="Arial"/>
        <w:color w:val="404040"/>
        <w:sz w:val="22"/>
      </w:rPr>
      <w:tcPr>
        <w:tcBorders>
          <w:top w:val="single" w:color="000000" w:themeColor="accent6" w:themeTint="98" w:sz="12" w:space="0"/>
        </w:tcBorders>
      </w:tcPr>
    </w:tblStylePr>
  </w:style>
  <w:style w:type="character" w:styleId="939">
    <w:name w:val="Footnote Text Char"/>
    <w:link w:val="972"/>
    <w:uiPriority w:val="99"/>
    <w:rPr>
      <w:sz w:val="18"/>
    </w:rPr>
  </w:style>
  <w:style w:type="paragraph" w:styleId="940">
    <w:name w:val="endnote text"/>
    <w:basedOn w:val="954"/>
    <w:link w:val="941"/>
    <w:uiPriority w:val="99"/>
    <w:semiHidden/>
    <w:unhideWhenUsed/>
    <w:pPr>
      <w:spacing w:after="0" w:line="240" w:lineRule="auto"/>
    </w:pPr>
    <w:rPr>
      <w:sz w:val="20"/>
    </w:rPr>
  </w:style>
  <w:style w:type="character" w:styleId="941">
    <w:name w:val="Endnote Text Char"/>
    <w:link w:val="940"/>
    <w:uiPriority w:val="99"/>
    <w:rPr>
      <w:sz w:val="20"/>
    </w:rPr>
  </w:style>
  <w:style w:type="character" w:styleId="942">
    <w:name w:val="endnote reference"/>
    <w:basedOn w:val="958"/>
    <w:uiPriority w:val="99"/>
    <w:semiHidden/>
    <w:unhideWhenUsed/>
    <w:rPr>
      <w:vertAlign w:val="superscript"/>
    </w:rPr>
  </w:style>
  <w:style w:type="paragraph" w:styleId="943">
    <w:name w:val="toc 1"/>
    <w:basedOn w:val="954"/>
    <w:next w:val="954"/>
    <w:uiPriority w:val="39"/>
    <w:unhideWhenUsed/>
    <w:pPr>
      <w:ind w:left="0" w:right="0" w:firstLine="0"/>
      <w:spacing w:after="57"/>
    </w:pPr>
  </w:style>
  <w:style w:type="paragraph" w:styleId="944">
    <w:name w:val="toc 2"/>
    <w:basedOn w:val="954"/>
    <w:next w:val="954"/>
    <w:uiPriority w:val="39"/>
    <w:unhideWhenUsed/>
    <w:pPr>
      <w:ind w:left="283" w:right="0" w:firstLine="0"/>
      <w:spacing w:after="57"/>
    </w:pPr>
  </w:style>
  <w:style w:type="paragraph" w:styleId="945">
    <w:name w:val="toc 3"/>
    <w:basedOn w:val="954"/>
    <w:next w:val="954"/>
    <w:uiPriority w:val="39"/>
    <w:unhideWhenUsed/>
    <w:pPr>
      <w:ind w:left="567" w:right="0" w:firstLine="0"/>
      <w:spacing w:after="57"/>
    </w:pPr>
  </w:style>
  <w:style w:type="paragraph" w:styleId="946">
    <w:name w:val="toc 4"/>
    <w:basedOn w:val="954"/>
    <w:next w:val="954"/>
    <w:uiPriority w:val="39"/>
    <w:unhideWhenUsed/>
    <w:pPr>
      <w:ind w:left="850" w:right="0" w:firstLine="0"/>
      <w:spacing w:after="57"/>
    </w:pPr>
  </w:style>
  <w:style w:type="paragraph" w:styleId="947">
    <w:name w:val="toc 5"/>
    <w:basedOn w:val="954"/>
    <w:next w:val="954"/>
    <w:uiPriority w:val="39"/>
    <w:unhideWhenUsed/>
    <w:pPr>
      <w:ind w:left="1134" w:right="0" w:firstLine="0"/>
      <w:spacing w:after="57"/>
    </w:pPr>
  </w:style>
  <w:style w:type="paragraph" w:styleId="948">
    <w:name w:val="toc 6"/>
    <w:basedOn w:val="954"/>
    <w:next w:val="954"/>
    <w:uiPriority w:val="39"/>
    <w:unhideWhenUsed/>
    <w:pPr>
      <w:ind w:left="1417" w:right="0" w:firstLine="0"/>
      <w:spacing w:after="57"/>
    </w:pPr>
  </w:style>
  <w:style w:type="paragraph" w:styleId="949">
    <w:name w:val="toc 7"/>
    <w:basedOn w:val="954"/>
    <w:next w:val="954"/>
    <w:uiPriority w:val="39"/>
    <w:unhideWhenUsed/>
    <w:pPr>
      <w:ind w:left="1701" w:right="0" w:firstLine="0"/>
      <w:spacing w:after="57"/>
    </w:pPr>
  </w:style>
  <w:style w:type="paragraph" w:styleId="950">
    <w:name w:val="toc 8"/>
    <w:basedOn w:val="954"/>
    <w:next w:val="954"/>
    <w:uiPriority w:val="39"/>
    <w:unhideWhenUsed/>
    <w:pPr>
      <w:ind w:left="1984" w:right="0" w:firstLine="0"/>
      <w:spacing w:after="57"/>
    </w:pPr>
  </w:style>
  <w:style w:type="paragraph" w:styleId="951">
    <w:name w:val="toc 9"/>
    <w:basedOn w:val="954"/>
    <w:next w:val="954"/>
    <w:uiPriority w:val="39"/>
    <w:unhideWhenUsed/>
    <w:pPr>
      <w:ind w:left="2268" w:right="0" w:firstLine="0"/>
      <w:spacing w:after="57"/>
    </w:pPr>
  </w:style>
  <w:style w:type="paragraph" w:styleId="952">
    <w:name w:val="TOC Heading"/>
    <w:uiPriority w:val="39"/>
    <w:unhideWhenUsed/>
  </w:style>
  <w:style w:type="paragraph" w:styleId="953">
    <w:name w:val="table of figures"/>
    <w:basedOn w:val="954"/>
    <w:next w:val="954"/>
    <w:uiPriority w:val="99"/>
    <w:unhideWhenUsed/>
    <w:pPr>
      <w:spacing w:after="0" w:afterAutospacing="0"/>
    </w:pPr>
  </w:style>
  <w:style w:type="paragraph" w:styleId="954" w:default="1">
    <w:name w:val="Normal"/>
    <w:qFormat/>
    <w:pPr>
      <w:contextualSpacing/>
      <w:ind w:firstLine="708"/>
      <w:jc w:val="both"/>
      <w:spacing w:line="240" w:lineRule="auto"/>
    </w:pPr>
    <w:rPr>
      <w:rFonts w:ascii="Times New Roman" w:hAnsi="Times New Roman" w:eastAsia="Calibri" w:cs="Times New Roman"/>
      <w:b/>
      <w:bCs/>
      <w:color w:val="000000"/>
      <w:sz w:val="28"/>
      <w:szCs w:val="28"/>
      <w:shd w:val="clear" w:color="ffffff" w:themeColor="background1" w:fill="ffffff" w:themeFill="background1"/>
    </w:rPr>
  </w:style>
  <w:style w:type="paragraph" w:styleId="955">
    <w:name w:val="Heading 1"/>
    <w:basedOn w:val="954"/>
    <w:link w:val="961"/>
    <w:uiPriority w:val="9"/>
    <w:qFormat/>
    <w:pPr>
      <w:spacing w:before="100" w:beforeAutospacing="1" w:after="100" w:afterAutospacing="1" w:line="240" w:lineRule="auto"/>
      <w:outlineLvl w:val="0"/>
    </w:pPr>
    <w:rPr>
      <w:rFonts w:ascii="Times New Roman" w:hAnsi="Times New Roman" w:eastAsia="Times New Roman" w:cs="Times New Roman"/>
      <w:b/>
      <w:bCs/>
      <w:sz w:val="48"/>
      <w:szCs w:val="48"/>
      <w:lang w:eastAsia="ru-RU"/>
    </w:rPr>
  </w:style>
  <w:style w:type="paragraph" w:styleId="956">
    <w:name w:val="Heading 2"/>
    <w:basedOn w:val="954"/>
    <w:next w:val="954"/>
    <w:link w:val="978"/>
    <w:uiPriority w:val="9"/>
    <w:unhideWhenUsed/>
    <w:qFormat/>
    <w:pPr>
      <w:keepLines/>
      <w:keepNext/>
      <w:spacing w:before="200" w:after="0"/>
      <w:outlineLvl w:val="1"/>
    </w:pPr>
    <w:rPr>
      <w:rFonts w:asciiTheme="majorHAnsi" w:hAnsiTheme="majorHAnsi" w:eastAsiaTheme="majorEastAsia" w:cstheme="majorBidi"/>
      <w:b/>
      <w:bCs/>
      <w:color w:val="4f81bd" w:themeColor="accent1"/>
      <w:sz w:val="26"/>
      <w:szCs w:val="26"/>
    </w:rPr>
  </w:style>
  <w:style w:type="paragraph" w:styleId="957">
    <w:name w:val="Heading 3"/>
    <w:basedOn w:val="954"/>
    <w:next w:val="954"/>
    <w:link w:val="999"/>
    <w:uiPriority w:val="9"/>
    <w:semiHidden/>
    <w:unhideWhenUsed/>
    <w:qFormat/>
    <w:pPr>
      <w:keepLines/>
      <w:keepNext/>
      <w:spacing w:before="40" w:after="0"/>
      <w:outlineLvl w:val="2"/>
    </w:pPr>
    <w:rPr>
      <w:rFonts w:asciiTheme="majorHAnsi" w:hAnsiTheme="majorHAnsi" w:eastAsiaTheme="majorEastAsia" w:cstheme="majorBidi"/>
      <w:color w:val="243f60" w:themeColor="accent1" w:themeShade="7F"/>
      <w:sz w:val="24"/>
      <w:szCs w:val="24"/>
    </w:rPr>
  </w:style>
  <w:style w:type="character" w:styleId="958" w:default="1">
    <w:name w:val="Default Paragraph Font"/>
    <w:uiPriority w:val="1"/>
    <w:semiHidden/>
    <w:unhideWhenUsed/>
  </w:style>
  <w:style w:type="table" w:styleId="959" w:default="1">
    <w:name w:val="Normal Table"/>
    <w:uiPriority w:val="99"/>
    <w:semiHidden/>
    <w:unhideWhenUsed/>
    <w:tblPr>
      <w:tblInd w:w="0" w:type="dxa"/>
      <w:tblCellMar>
        <w:left w:w="108" w:type="dxa"/>
        <w:top w:w="0" w:type="dxa"/>
        <w:right w:w="108" w:type="dxa"/>
        <w:bottom w:w="0" w:type="dxa"/>
      </w:tblCellMar>
    </w:tblPr>
  </w:style>
  <w:style w:type="numbering" w:styleId="960" w:default="1">
    <w:name w:val="No List"/>
    <w:uiPriority w:val="99"/>
    <w:semiHidden/>
    <w:unhideWhenUsed/>
  </w:style>
  <w:style w:type="character" w:styleId="961" w:customStyle="1">
    <w:name w:val="Заголовок 1 Знак"/>
    <w:basedOn w:val="958"/>
    <w:link w:val="955"/>
    <w:uiPriority w:val="9"/>
    <w:rPr>
      <w:rFonts w:ascii="Times New Roman" w:hAnsi="Times New Roman" w:eastAsia="Times New Roman" w:cs="Times New Roman"/>
      <w:b/>
      <w:bCs/>
      <w:sz w:val="48"/>
      <w:szCs w:val="48"/>
      <w:lang w:eastAsia="ru-RU"/>
    </w:rPr>
  </w:style>
  <w:style w:type="paragraph" w:styleId="962" w:customStyle="1">
    <w:name w:val="ConsPlusNormal"/>
    <w:link w:val="963"/>
    <w:pPr>
      <w:ind w:firstLine="720"/>
      <w:spacing w:after="0" w:line="240" w:lineRule="auto"/>
      <w:widowControl w:val="off"/>
    </w:pPr>
    <w:rPr>
      <w:rFonts w:ascii="Arial" w:hAnsi="Arial" w:eastAsia="Times New Roman" w:cs="Arial"/>
      <w:sz w:val="20"/>
      <w:szCs w:val="20"/>
      <w:lang w:eastAsia="ru-RU"/>
    </w:rPr>
  </w:style>
  <w:style w:type="character" w:styleId="963" w:customStyle="1">
    <w:name w:val="ConsPlusNormal Знак"/>
    <w:basedOn w:val="958"/>
    <w:link w:val="962"/>
    <w:rPr>
      <w:rFonts w:ascii="Arial" w:hAnsi="Arial" w:eastAsia="Times New Roman" w:cs="Arial"/>
      <w:sz w:val="20"/>
      <w:szCs w:val="20"/>
      <w:lang w:eastAsia="ru-RU"/>
    </w:rPr>
  </w:style>
  <w:style w:type="character" w:styleId="964">
    <w:name w:val="Hyperlink"/>
    <w:basedOn w:val="958"/>
    <w:unhideWhenUsed/>
    <w:rPr>
      <w:color w:val="0000ff"/>
      <w:u w:val="single"/>
    </w:rPr>
  </w:style>
  <w:style w:type="paragraph" w:styleId="965">
    <w:name w:val="Header"/>
    <w:basedOn w:val="954"/>
    <w:link w:val="966"/>
    <w:uiPriority w:val="99"/>
    <w:pPr>
      <w:spacing w:after="0" w:line="240" w:lineRule="auto"/>
      <w:tabs>
        <w:tab w:val="center" w:pos="4677" w:leader="none"/>
        <w:tab w:val="right" w:pos="9355" w:leader="none"/>
      </w:tabs>
    </w:pPr>
    <w:rPr>
      <w:rFonts w:ascii="Times New Roman" w:hAnsi="Times New Roman" w:eastAsia="Calibri" w:cs="Times New Roman"/>
      <w:bCs/>
      <w:color w:val="000000"/>
      <w:sz w:val="24"/>
      <w:szCs w:val="24"/>
      <w:lang w:eastAsia="ru-RU"/>
    </w:rPr>
  </w:style>
  <w:style w:type="character" w:styleId="966" w:customStyle="1">
    <w:name w:val="Верхний колонтитул Знак"/>
    <w:basedOn w:val="958"/>
    <w:link w:val="965"/>
    <w:uiPriority w:val="99"/>
    <w:rPr>
      <w:rFonts w:ascii="Times New Roman" w:hAnsi="Times New Roman" w:eastAsia="Calibri" w:cs="Times New Roman"/>
      <w:bCs/>
      <w:color w:val="000000"/>
      <w:sz w:val="24"/>
      <w:szCs w:val="24"/>
      <w:lang w:eastAsia="ru-RU"/>
    </w:rPr>
  </w:style>
  <w:style w:type="character" w:styleId="967" w:customStyle="1">
    <w:name w:val="title1"/>
    <w:basedOn w:val="958"/>
  </w:style>
  <w:style w:type="paragraph" w:styleId="968">
    <w:name w:val="Balloon Text"/>
    <w:basedOn w:val="954"/>
    <w:link w:val="969"/>
    <w:uiPriority w:val="99"/>
    <w:semiHidden/>
    <w:unhideWhenUsed/>
    <w:pPr>
      <w:spacing w:after="0" w:line="240" w:lineRule="auto"/>
    </w:pPr>
    <w:rPr>
      <w:rFonts w:ascii="Tahoma" w:hAnsi="Tahoma" w:cs="Tahoma"/>
      <w:sz w:val="16"/>
      <w:szCs w:val="16"/>
    </w:rPr>
  </w:style>
  <w:style w:type="character" w:styleId="969" w:customStyle="1">
    <w:name w:val="Текст выноски Знак"/>
    <w:basedOn w:val="958"/>
    <w:link w:val="968"/>
    <w:uiPriority w:val="99"/>
    <w:semiHidden/>
    <w:rPr>
      <w:rFonts w:ascii="Tahoma" w:hAnsi="Tahoma" w:cs="Tahoma"/>
      <w:sz w:val="16"/>
      <w:szCs w:val="16"/>
    </w:rPr>
  </w:style>
  <w:style w:type="paragraph" w:styleId="970">
    <w:name w:val="Normal (Web)"/>
    <w:basedOn w:val="954"/>
    <w:uiPriority w:val="99"/>
    <w:unhideWhenUsed/>
    <w:pPr>
      <w:spacing w:before="100" w:beforeAutospacing="1" w:after="100" w:afterAutospacing="1" w:line="240" w:lineRule="auto"/>
    </w:pPr>
    <w:rPr>
      <w:rFonts w:ascii="Times New Roman" w:hAnsi="Times New Roman" w:eastAsia="Times New Roman" w:cs="Times New Roman"/>
      <w:sz w:val="24"/>
      <w:szCs w:val="24"/>
      <w:lang w:eastAsia="ru-RU"/>
    </w:rPr>
  </w:style>
  <w:style w:type="table" w:styleId="971">
    <w:name w:val="Table Grid"/>
    <w:basedOn w:val="959"/>
    <w:uiPriority w:val="39"/>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972">
    <w:name w:val="footnote text"/>
    <w:basedOn w:val="954"/>
    <w:link w:val="973"/>
    <w:uiPriority w:val="99"/>
    <w:unhideWhenUsed/>
    <w:pPr>
      <w:spacing w:after="0" w:line="240" w:lineRule="auto"/>
    </w:pPr>
    <w:rPr>
      <w:sz w:val="20"/>
      <w:szCs w:val="20"/>
    </w:rPr>
  </w:style>
  <w:style w:type="character" w:styleId="973" w:customStyle="1">
    <w:name w:val="Текст сноски Знак"/>
    <w:basedOn w:val="958"/>
    <w:link w:val="972"/>
    <w:uiPriority w:val="99"/>
    <w:rPr>
      <w:sz w:val="20"/>
      <w:szCs w:val="20"/>
    </w:rPr>
  </w:style>
  <w:style w:type="character" w:styleId="974">
    <w:name w:val="footnote reference"/>
    <w:basedOn w:val="958"/>
    <w:uiPriority w:val="99"/>
    <w:unhideWhenUsed/>
    <w:rPr>
      <w:vertAlign w:val="superscript"/>
    </w:rPr>
  </w:style>
  <w:style w:type="paragraph" w:styleId="975">
    <w:name w:val="List Paragraph"/>
    <w:basedOn w:val="954"/>
    <w:uiPriority w:val="34"/>
    <w:qFormat/>
    <w:pPr>
      <w:contextualSpacing/>
      <w:ind w:left="720"/>
      <w:spacing w:after="160" w:line="259" w:lineRule="auto"/>
    </w:pPr>
  </w:style>
  <w:style w:type="paragraph" w:styleId="976">
    <w:name w:val="Body Text"/>
    <w:basedOn w:val="954"/>
    <w:link w:val="977"/>
    <w:uiPriority w:val="1"/>
    <w:qFormat/>
    <w:pPr>
      <w:spacing w:after="0" w:line="240" w:lineRule="auto"/>
      <w:widowControl w:val="off"/>
    </w:pPr>
    <w:rPr>
      <w:rFonts w:ascii="Times New Roman" w:hAnsi="Times New Roman" w:eastAsia="Times New Roman" w:cs="Times New Roman"/>
      <w:sz w:val="28"/>
      <w:szCs w:val="28"/>
    </w:rPr>
  </w:style>
  <w:style w:type="character" w:styleId="977" w:customStyle="1">
    <w:name w:val="Основной текст Знак"/>
    <w:basedOn w:val="958"/>
    <w:link w:val="976"/>
    <w:uiPriority w:val="1"/>
    <w:rPr>
      <w:rFonts w:ascii="Times New Roman" w:hAnsi="Times New Roman" w:eastAsia="Times New Roman" w:cs="Times New Roman"/>
      <w:sz w:val="28"/>
      <w:szCs w:val="28"/>
    </w:rPr>
  </w:style>
  <w:style w:type="character" w:styleId="978" w:customStyle="1">
    <w:name w:val="Заголовок 2 Знак"/>
    <w:basedOn w:val="958"/>
    <w:link w:val="956"/>
    <w:uiPriority w:val="9"/>
    <w:rPr>
      <w:rFonts w:asciiTheme="majorHAnsi" w:hAnsiTheme="majorHAnsi" w:eastAsiaTheme="majorEastAsia" w:cstheme="majorBidi"/>
      <w:b/>
      <w:bCs/>
      <w:color w:val="4f81bd" w:themeColor="accent1"/>
      <w:sz w:val="26"/>
      <w:szCs w:val="26"/>
    </w:rPr>
  </w:style>
  <w:style w:type="paragraph" w:styleId="979" w:customStyle="1">
    <w:name w:val="Абзац списка1"/>
    <w:basedOn w:val="954"/>
    <w:pPr>
      <w:contextualSpacing/>
      <w:ind w:left="720"/>
      <w:spacing w:after="0" w:line="240" w:lineRule="auto"/>
    </w:pPr>
    <w:rPr>
      <w:rFonts w:ascii="Times New Roman" w:hAnsi="Times New Roman" w:eastAsia="Calibri" w:cs="Times New Roman"/>
      <w:sz w:val="24"/>
      <w:szCs w:val="24"/>
      <w:lang w:eastAsia="ru-RU"/>
    </w:rPr>
  </w:style>
  <w:style w:type="character" w:styleId="980">
    <w:name w:val="Strong"/>
    <w:basedOn w:val="958"/>
    <w:uiPriority w:val="22"/>
    <w:qFormat/>
    <w:rPr>
      <w:b/>
      <w:bCs/>
    </w:rPr>
  </w:style>
  <w:style w:type="character" w:styleId="981" w:customStyle="1">
    <w:name w:val="news__arrowdesktop"/>
    <w:basedOn w:val="958"/>
  </w:style>
  <w:style w:type="paragraph" w:styleId="982" w:customStyle="1">
    <w:name w:val="align_center"/>
    <w:basedOn w:val="954"/>
    <w:pPr>
      <w:spacing w:before="100" w:beforeAutospacing="1" w:after="100" w:afterAutospacing="1" w:line="240" w:lineRule="auto"/>
    </w:pPr>
    <w:rPr>
      <w:rFonts w:ascii="Times New Roman" w:hAnsi="Times New Roman" w:eastAsia="Times New Roman" w:cs="Times New Roman"/>
      <w:sz w:val="24"/>
      <w:szCs w:val="24"/>
      <w:lang w:eastAsia="ru-RU"/>
    </w:rPr>
  </w:style>
  <w:style w:type="paragraph" w:styleId="983" w:customStyle="1">
    <w:name w:val="no-indent"/>
    <w:basedOn w:val="954"/>
    <w:pPr>
      <w:spacing w:before="100" w:beforeAutospacing="1" w:after="100" w:afterAutospacing="1" w:line="240" w:lineRule="auto"/>
    </w:pPr>
    <w:rPr>
      <w:rFonts w:ascii="Times New Roman" w:hAnsi="Times New Roman" w:eastAsia="Times New Roman" w:cs="Times New Roman"/>
      <w:sz w:val="24"/>
      <w:szCs w:val="24"/>
      <w:lang w:eastAsia="ru-RU"/>
    </w:rPr>
  </w:style>
  <w:style w:type="paragraph" w:styleId="984">
    <w:name w:val="No Spacing"/>
    <w:link w:val="997"/>
    <w:uiPriority w:val="1"/>
    <w:qFormat/>
    <w:pPr>
      <w:spacing w:after="0" w:line="240" w:lineRule="auto"/>
    </w:pPr>
  </w:style>
  <w:style w:type="character" w:styleId="985" w:customStyle="1">
    <w:name w:val="Текст примечания Знак"/>
    <w:basedOn w:val="958"/>
    <w:link w:val="986"/>
    <w:uiPriority w:val="99"/>
    <w:semiHidden/>
    <w:rPr>
      <w:sz w:val="20"/>
      <w:szCs w:val="20"/>
    </w:rPr>
  </w:style>
  <w:style w:type="paragraph" w:styleId="986">
    <w:name w:val="annotation text"/>
    <w:basedOn w:val="954"/>
    <w:link w:val="985"/>
    <w:uiPriority w:val="99"/>
    <w:semiHidden/>
    <w:unhideWhenUsed/>
    <w:pPr>
      <w:spacing w:after="160" w:line="240" w:lineRule="auto"/>
    </w:pPr>
    <w:rPr>
      <w:sz w:val="20"/>
      <w:szCs w:val="20"/>
    </w:rPr>
  </w:style>
  <w:style w:type="character" w:styleId="987" w:customStyle="1">
    <w:name w:val="Текст примечания Знак1"/>
    <w:basedOn w:val="958"/>
    <w:uiPriority w:val="99"/>
    <w:semiHidden/>
    <w:rPr>
      <w:sz w:val="20"/>
      <w:szCs w:val="20"/>
    </w:rPr>
  </w:style>
  <w:style w:type="character" w:styleId="988" w:customStyle="1">
    <w:name w:val="Тема примечания Знак"/>
    <w:basedOn w:val="985"/>
    <w:link w:val="989"/>
    <w:uiPriority w:val="99"/>
    <w:semiHidden/>
    <w:rPr>
      <w:b/>
      <w:bCs/>
      <w:sz w:val="20"/>
      <w:szCs w:val="20"/>
    </w:rPr>
  </w:style>
  <w:style w:type="paragraph" w:styleId="989">
    <w:name w:val="annotation subject"/>
    <w:basedOn w:val="986"/>
    <w:next w:val="986"/>
    <w:link w:val="988"/>
    <w:uiPriority w:val="99"/>
    <w:semiHidden/>
    <w:unhideWhenUsed/>
    <w:rPr>
      <w:b/>
      <w:bCs/>
    </w:rPr>
  </w:style>
  <w:style w:type="character" w:styleId="990" w:customStyle="1">
    <w:name w:val="Тема примечания Знак1"/>
    <w:basedOn w:val="987"/>
    <w:uiPriority w:val="99"/>
    <w:semiHidden/>
    <w:rPr>
      <w:b/>
      <w:bCs/>
      <w:sz w:val="20"/>
      <w:szCs w:val="20"/>
    </w:rPr>
  </w:style>
  <w:style w:type="paragraph" w:styleId="991">
    <w:name w:val="Footer"/>
    <w:basedOn w:val="954"/>
    <w:link w:val="992"/>
    <w:uiPriority w:val="99"/>
    <w:unhideWhenUsed/>
    <w:pPr>
      <w:spacing w:after="0" w:line="240" w:lineRule="auto"/>
      <w:tabs>
        <w:tab w:val="center" w:pos="4677" w:leader="none"/>
        <w:tab w:val="right" w:pos="9355" w:leader="none"/>
      </w:tabs>
    </w:pPr>
  </w:style>
  <w:style w:type="character" w:styleId="992" w:customStyle="1">
    <w:name w:val="Нижний колонтитул Знак"/>
    <w:basedOn w:val="958"/>
    <w:link w:val="991"/>
    <w:uiPriority w:val="99"/>
  </w:style>
  <w:style w:type="paragraph" w:styleId="993" w:customStyle="1">
    <w:name w:val="Style4"/>
    <w:basedOn w:val="954"/>
    <w:uiPriority w:val="99"/>
    <w:pPr>
      <w:ind w:firstLine="845"/>
      <w:jc w:val="both"/>
      <w:spacing w:after="0" w:line="323" w:lineRule="exact"/>
      <w:widowControl w:val="off"/>
    </w:pPr>
    <w:rPr>
      <w:rFonts w:ascii="Times New Roman" w:hAnsi="Times New Roman" w:cs="Times New Roman" w:eastAsiaTheme="minorEastAsia"/>
      <w:sz w:val="24"/>
      <w:szCs w:val="24"/>
      <w:lang w:eastAsia="ru-RU"/>
    </w:rPr>
  </w:style>
  <w:style w:type="character" w:styleId="994" w:customStyle="1">
    <w:name w:val="Font Style20"/>
    <w:basedOn w:val="958"/>
    <w:uiPriority w:val="99"/>
    <w:rPr>
      <w:rFonts w:ascii="Times New Roman" w:hAnsi="Times New Roman" w:cs="Times New Roman"/>
      <w:sz w:val="26"/>
      <w:szCs w:val="26"/>
    </w:rPr>
  </w:style>
  <w:style w:type="paragraph" w:styleId="995" w:customStyle="1">
    <w:name w:val="Style8"/>
    <w:basedOn w:val="954"/>
    <w:uiPriority w:val="99"/>
    <w:pPr>
      <w:jc w:val="both"/>
      <w:spacing w:after="0" w:line="240" w:lineRule="auto"/>
      <w:widowControl w:val="off"/>
    </w:pPr>
    <w:rPr>
      <w:rFonts w:ascii="Times New Roman" w:hAnsi="Times New Roman" w:cs="Times New Roman" w:eastAsiaTheme="minorEastAsia"/>
      <w:sz w:val="24"/>
      <w:szCs w:val="24"/>
      <w:lang w:eastAsia="ru-RU"/>
    </w:rPr>
  </w:style>
  <w:style w:type="paragraph" w:styleId="996" w:customStyle="1">
    <w:name w:val="ConsPlusTitle"/>
    <w:uiPriority w:val="99"/>
    <w:pPr>
      <w:spacing w:after="0" w:line="240" w:lineRule="auto"/>
      <w:widowControl w:val="off"/>
    </w:pPr>
    <w:rPr>
      <w:rFonts w:ascii="Arial" w:hAnsi="Arial" w:eastAsia="Times New Roman" w:cs="Arial"/>
      <w:b/>
      <w:bCs/>
      <w:sz w:val="20"/>
      <w:szCs w:val="20"/>
      <w:lang w:eastAsia="ru-RU"/>
    </w:rPr>
  </w:style>
  <w:style w:type="character" w:styleId="997" w:customStyle="1">
    <w:name w:val="Без интервала Знак"/>
    <w:link w:val="984"/>
    <w:uiPriority w:val="1"/>
  </w:style>
  <w:style w:type="paragraph" w:styleId="998" w:customStyle="1">
    <w:name w:val="Style11"/>
    <w:basedOn w:val="954"/>
    <w:uiPriority w:val="99"/>
    <w:pPr>
      <w:jc w:val="both"/>
      <w:spacing w:after="0" w:line="371" w:lineRule="exact"/>
      <w:widowControl w:val="off"/>
    </w:pPr>
    <w:rPr>
      <w:rFonts w:ascii="Times New Roman" w:hAnsi="Times New Roman" w:eastAsia="Times New Roman" w:cs="Times New Roman"/>
      <w:sz w:val="24"/>
      <w:szCs w:val="24"/>
      <w:lang w:eastAsia="ru-RU"/>
    </w:rPr>
  </w:style>
  <w:style w:type="character" w:styleId="999" w:customStyle="1">
    <w:name w:val="Заголовок 3 Знак"/>
    <w:basedOn w:val="958"/>
    <w:link w:val="957"/>
    <w:uiPriority w:val="9"/>
    <w:semiHidden/>
    <w:rPr>
      <w:rFonts w:asciiTheme="majorHAnsi" w:hAnsiTheme="majorHAnsi" w:eastAsiaTheme="majorEastAsia" w:cstheme="majorBidi"/>
      <w:color w:val="243f60" w:themeColor="accent1" w:themeShade="7F"/>
      <w:sz w:val="24"/>
      <w:szCs w:val="24"/>
    </w:rPr>
  </w:style>
  <w:style w:type="paragraph" w:styleId="1000" w:customStyle="1">
    <w:name w:val="Style17"/>
    <w:basedOn w:val="954"/>
    <w:uiPriority w:val="99"/>
    <w:pPr>
      <w:ind w:firstLine="706"/>
      <w:jc w:val="both"/>
      <w:spacing w:after="0" w:line="370" w:lineRule="exact"/>
      <w:widowControl w:val="off"/>
    </w:pPr>
    <w:rPr>
      <w:rFonts w:ascii="Times New Roman" w:hAnsi="Times New Roman" w:eastAsia="Times New Roman" w:cs="Times New Roman"/>
      <w:sz w:val="24"/>
      <w:szCs w:val="24"/>
      <w:lang w:eastAsia="ru-RU"/>
    </w:rPr>
  </w:style>
  <w:style w:type="paragraph" w:styleId="1001" w:customStyle="1">
    <w:name w:val="u"/>
    <w:basedOn w:val="954"/>
    <w:pPr>
      <w:spacing w:before="100" w:beforeAutospacing="1" w:after="100" w:afterAutospacing="1" w:line="240" w:lineRule="auto"/>
    </w:pPr>
    <w:rPr>
      <w:rFonts w:ascii="Times New Roman" w:hAnsi="Times New Roman" w:eastAsia="Times New Roman" w:cs="Times New Roman"/>
      <w:sz w:val="24"/>
      <w:szCs w:val="24"/>
      <w:lang w:eastAsia="ru-RU"/>
    </w:rPr>
  </w:style>
  <w:style w:type="table" w:styleId="1002" w:customStyle="1">
    <w:name w:val="Сетка таблицы1"/>
    <w:basedOn w:val="959"/>
    <w:next w:val="971"/>
    <w:uiPriority w:val="39"/>
    <w:pPr>
      <w:spacing w:after="0" w:line="240" w:lineRule="auto"/>
    </w:pPr>
    <w:rPr>
      <w:rFonts w:ascii="Calibri" w:hAnsi="Calibri" w:eastAsia="Calibri" w:cs="Times New Roman"/>
      <w:sz w:val="20"/>
      <w:szCs w:val="20"/>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1003" w:customStyle="1">
    <w:name w:val="Абзац списка"/>
    <w:uiPriority w:val="34"/>
    <w:qFormat/>
    <w:pPr>
      <w:contextualSpacing/>
      <w:ind w:left="720" w:right="0" w:firstLine="709"/>
      <w:jc w:val="both"/>
      <w:keepLines w:val="0"/>
      <w:keepNext w:val="0"/>
      <w:pageBreakBefore w:val="0"/>
      <w:spacing w:before="0" w:beforeAutospacing="0" w:after="0" w:afterAutospacing="0" w:line="240" w:lineRule="auto"/>
      <w:shd w:val="nil"/>
      <w:widowControl/>
      <w:pBdr>
        <w:top w:val="none" w:color="000000" w:sz="4" w:space="0"/>
        <w:left w:val="none" w:color="000000" w:sz="4" w:space="0"/>
        <w:bottom w:val="none" w:color="000000" w:sz="4" w:space="0"/>
        <w:right w:val="none" w:color="000000" w:sz="4" w:space="0"/>
        <w:between w:val="none" w:color="000000" w:sz="4" w:space="0"/>
      </w:pBdr>
      <w:suppressLineNumbers w:val="0"/>
    </w:pPr>
    <w:rPr>
      <w:rFonts w:ascii="Times New Roman" w:hAnsi="Times New Roman" w:eastAsia="Calibri" w:cs="Times New Roman"/>
      <w:b w:val="0"/>
      <w:bCs w:val="0"/>
      <w:i w:val="0"/>
      <w:iCs w:val="0"/>
      <w:caps w:val="0"/>
      <w:smallCaps w:val="0"/>
      <w:strike w:val="0"/>
      <w:vanish w:val="0"/>
      <w:color w:val="auto"/>
      <w:spacing w:val="0"/>
      <w:position w:val="0"/>
      <w:sz w:val="28"/>
      <w:szCs w:val="28"/>
      <w:highlight w:val="none"/>
      <w:u w:val="none"/>
      <w:vertAlign w:val="baseline"/>
      <w:rtl w:val="0"/>
      <w:cs w:val="0"/>
      <w:lang w:val="ru-RU" w:eastAsia="en-US" w:bidi="ar-SA"/>
      <w14:ligatures w14:val="none"/>
    </w:rPr>
  </w:style>
  <w:style w:type="paragraph" w:styleId="1004" w:customStyle="1">
    <w:name w:val="Обычный (веб)"/>
    <w:uiPriority w:val="99"/>
    <w:unhideWhenUsed/>
    <w:pPr>
      <w:contextualSpacing w:val="0"/>
      <w:ind w:left="0" w:right="0" w:firstLine="0"/>
      <w:jc w:val="left"/>
      <w:keepLines w:val="0"/>
      <w:keepNext w:val="0"/>
      <w:pageBreakBefore w:val="0"/>
      <w:spacing w:before="100" w:beforeAutospacing="1" w:after="100" w:afterAutospacing="1" w:line="240" w:lineRule="auto"/>
      <w:shd w:val="nil"/>
      <w:widowControl/>
      <w:pBdr>
        <w:top w:val="none" w:color="000000" w:sz="4" w:space="0"/>
        <w:left w:val="none" w:color="000000" w:sz="4" w:space="0"/>
        <w:bottom w:val="none" w:color="000000" w:sz="4" w:space="0"/>
        <w:right w:val="none" w:color="000000" w:sz="4" w:space="0"/>
        <w:between w:val="none" w:color="000000" w:sz="4" w:space="0"/>
      </w:pBdr>
      <w:suppressLineNumbers w:val="0"/>
    </w:pPr>
    <w:rPr>
      <w:rFonts w:ascii="Times New Roman" w:hAnsi="Times New Roman" w:eastAsia="Times New Roman" w:cs="Times New Roman"/>
      <w:b w:val="0"/>
      <w:bCs w:val="0"/>
      <w:i w:val="0"/>
      <w:iCs w:val="0"/>
      <w:caps w:val="0"/>
      <w:smallCaps w:val="0"/>
      <w:strike w:val="0"/>
      <w:vanish w:val="0"/>
      <w:color w:val="auto"/>
      <w:spacing w:val="0"/>
      <w:position w:val="0"/>
      <w:sz w:val="24"/>
      <w:szCs w:val="24"/>
      <w:highlight w:val="none"/>
      <w:u w:val="none"/>
      <w:vertAlign w:val="baseline"/>
      <w:rtl w:val="0"/>
      <w:cs w:val="0"/>
      <w:lang w:val="ru-RU" w:eastAsia="ru-RU" w:bidi="ar-SA"/>
      <w14:ligatures w14:val="none"/>
    </w:rPr>
  </w:style>
  <w:style w:type="paragraph" w:styleId="1005" w:customStyle="1">
    <w:name w:val="Текст сноски"/>
    <w:uiPriority w:val="99"/>
    <w:pPr>
      <w:contextualSpacing w:val="0"/>
      <w:ind w:left="0" w:right="0" w:firstLine="0"/>
      <w:jc w:val="left"/>
      <w:keepLines w:val="0"/>
      <w:keepNext w:val="0"/>
      <w:pageBreakBefore w:val="0"/>
      <w:spacing w:before="0" w:beforeAutospacing="0" w:after="0" w:afterAutospacing="0" w:line="240" w:lineRule="auto"/>
      <w:shd w:val="nil"/>
      <w:widowControl/>
      <w:pBdr>
        <w:top w:val="none" w:color="000000" w:sz="4" w:space="0"/>
        <w:left w:val="none" w:color="000000" w:sz="4" w:space="0"/>
        <w:bottom w:val="none" w:color="000000" w:sz="4" w:space="0"/>
        <w:right w:val="none" w:color="000000" w:sz="4" w:space="0"/>
        <w:between w:val="none" w:color="000000" w:sz="4" w:space="0"/>
      </w:pBdr>
      <w:suppressLineNumbers w:val="0"/>
    </w:pPr>
    <w:rPr>
      <w:rFonts w:ascii="Times New Roman" w:hAnsi="Times New Roman" w:eastAsia="Times New Roman" w:cs="Times New Roman"/>
      <w:b w:val="0"/>
      <w:bCs w:val="0"/>
      <w:i w:val="0"/>
      <w:iCs w:val="0"/>
      <w:caps w:val="0"/>
      <w:smallCaps w:val="0"/>
      <w:strike w:val="0"/>
      <w:vanish w:val="0"/>
      <w:color w:val="auto"/>
      <w:spacing w:val="0"/>
      <w:position w:val="0"/>
      <w:sz w:val="20"/>
      <w:szCs w:val="20"/>
      <w:highlight w:val="none"/>
      <w:u w:val="none"/>
      <w:vertAlign w:val="baseline"/>
      <w:rtl w:val="0"/>
      <w:cs w:val="0"/>
      <w:lang w:val="en-US" w:eastAsia="ru-RU" w:bidi="ar-SA"/>
      <w14:ligatures w14:val="none"/>
    </w:rPr>
  </w:style>
  <w:style w:type="character" w:styleId="1006" w:customStyle="1">
    <w:name w:val="Знак сноски"/>
    <w:uiPriority w:val="99"/>
    <w:semiHidden/>
    <w:rPr>
      <w:vertAlign w:val="superscript"/>
    </w:rPr>
  </w:style>
  <w:style w:type="paragraph" w:styleId="1007" w:customStyle="1">
    <w:name w:val="Style1"/>
    <w:uiPriority w:val="99"/>
    <w:pPr>
      <w:contextualSpacing w:val="0"/>
      <w:ind w:left="0" w:right="0" w:firstLine="713"/>
      <w:jc w:val="both"/>
      <w:keepLines w:val="0"/>
      <w:keepNext w:val="0"/>
      <w:pageBreakBefore w:val="0"/>
      <w:spacing w:before="0" w:beforeAutospacing="0" w:after="0" w:afterAutospacing="0" w:line="356" w:lineRule="exact"/>
      <w:shd w:val="nil"/>
      <w:widowControl w:val="off"/>
      <w:pBdr>
        <w:top w:val="none" w:color="000000" w:sz="4" w:space="0"/>
        <w:left w:val="none" w:color="000000" w:sz="4" w:space="0"/>
        <w:bottom w:val="none" w:color="000000" w:sz="4" w:space="0"/>
        <w:right w:val="none" w:color="000000" w:sz="4" w:space="0"/>
        <w:between w:val="none" w:color="000000" w:sz="4" w:space="0"/>
      </w:pBdr>
      <w:suppressLineNumbers w:val="0"/>
    </w:pPr>
    <w:rPr>
      <w:rFonts w:ascii="Times New Roman" w:hAnsi="Times New Roman" w:eastAsia="Times New Roman" w:cs="Times New Roman"/>
      <w:b w:val="0"/>
      <w:bCs w:val="0"/>
      <w:i w:val="0"/>
      <w:iCs w:val="0"/>
      <w:caps w:val="0"/>
      <w:smallCaps w:val="0"/>
      <w:strike w:val="0"/>
      <w:vanish w:val="0"/>
      <w:color w:val="auto"/>
      <w:spacing w:val="0"/>
      <w:position w:val="0"/>
      <w:sz w:val="24"/>
      <w:szCs w:val="24"/>
      <w:highlight w:val="none"/>
      <w:u w:val="none"/>
      <w:vertAlign w:val="baseline"/>
      <w:rtl w:val="0"/>
      <w:cs w:val="0"/>
      <w:lang w:val="ru-RU" w:eastAsia="ru-RU" w:bidi="ar-SA"/>
      <w14:ligatures w14:val="none"/>
    </w:rPr>
  </w:style>
  <w:style w:type="paragraph" w:styleId="1008" w:customStyle="1">
    <w:name w:val="Default"/>
    <w:next w:val="955"/>
    <w:pPr>
      <w:contextualSpacing w:val="0"/>
      <w:ind w:left="0" w:right="0" w:firstLine="0"/>
      <w:jc w:val="left"/>
      <w:keepLines w:val="0"/>
      <w:keepNext w:val="0"/>
      <w:pageBreakBefore w:val="0"/>
      <w:spacing w:before="0" w:beforeAutospacing="0" w:after="0" w:afterAutospacing="0" w:line="240" w:lineRule="auto"/>
      <w:shd w:val="nil"/>
      <w:widowControl/>
      <w:pBdr>
        <w:top w:val="none" w:color="000000" w:sz="4" w:space="0"/>
        <w:left w:val="none" w:color="000000" w:sz="4" w:space="0"/>
        <w:bottom w:val="none" w:color="000000" w:sz="4" w:space="0"/>
        <w:right w:val="none" w:color="000000" w:sz="4" w:space="0"/>
        <w:between w:val="none" w:color="000000" w:sz="4" w:space="0"/>
      </w:pBdr>
      <w:suppressLineNumbers w:val="0"/>
    </w:pPr>
    <w:rPr>
      <w:rFonts w:ascii="Times New Roman" w:hAnsi="Times New Roman" w:eastAsia="Calibri" w:cs="Times New Roman"/>
      <w:b w:val="0"/>
      <w:bCs w:val="0"/>
      <w:i w:val="0"/>
      <w:iCs w:val="0"/>
      <w:caps w:val="0"/>
      <w:smallCaps w:val="0"/>
      <w:strike w:val="0"/>
      <w:vanish w:val="0"/>
      <w:color w:val="000000"/>
      <w:spacing w:val="0"/>
      <w:position w:val="0"/>
      <w:sz w:val="24"/>
      <w:szCs w:val="24"/>
      <w:highlight w:val="none"/>
      <w:u w:val="none"/>
      <w:vertAlign w:val="baseline"/>
      <w:rtl w:val="0"/>
      <w:cs w:val="0"/>
      <w:lang w:val="ru-RU" w:eastAsia="en-US" w:bidi="ar-SA"/>
      <w14:ligatures w14:val="none"/>
    </w:rPr>
  </w:style>
  <w:style w:type="character" w:styleId="1009" w:customStyle="1">
    <w:name w:val="Гиперссылка"/>
    <w:uiPriority w:val="99"/>
    <w:rPr>
      <w:color w:val="0000ff"/>
      <w:u w:val="single"/>
    </w:rPr>
  </w:style>
  <w:style w:type="paragraph" w:styleId="1010" w:customStyle="1">
    <w:name w:val="Без интервала"/>
    <w:next w:val="864"/>
    <w:link w:val="792"/>
    <w:uiPriority w:val="1"/>
    <w:qFormat/>
    <w:pPr>
      <w:contextualSpacing w:val="0"/>
      <w:ind w:left="0" w:right="0" w:firstLine="0"/>
      <w:jc w:val="left"/>
      <w:keepLines w:val="0"/>
      <w:keepNext w:val="0"/>
      <w:pageBreakBefore w:val="0"/>
      <w:spacing w:before="0" w:beforeAutospacing="0" w:after="0" w:afterAutospacing="0" w:line="240" w:lineRule="auto"/>
      <w:shd w:val="nil"/>
      <w:widowControl/>
      <w:pBdr>
        <w:top w:val="none" w:color="000000" w:sz="4" w:space="0"/>
        <w:left w:val="none" w:color="000000" w:sz="4" w:space="0"/>
        <w:bottom w:val="none" w:color="000000" w:sz="4" w:space="0"/>
        <w:right w:val="none" w:color="000000" w:sz="4" w:space="0"/>
        <w:between w:val="none" w:color="000000" w:sz="4" w:space="0"/>
      </w:pBdr>
      <w:suppressLineNumbers w:val="0"/>
    </w:pPr>
    <w:rPr>
      <w:rFonts w:ascii="Calibri" w:hAnsi="Calibri" w:eastAsia="Calibri" w:cs="Times New Roman"/>
      <w:b w:val="0"/>
      <w:bCs w:val="0"/>
      <w:i w:val="0"/>
      <w:iCs w:val="0"/>
      <w:caps w:val="0"/>
      <w:smallCaps w:val="0"/>
      <w:strike w:val="0"/>
      <w:vanish w:val="0"/>
      <w:color w:val="auto"/>
      <w:spacing w:val="0"/>
      <w:position w:val="0"/>
      <w:sz w:val="22"/>
      <w:szCs w:val="22"/>
      <w:highlight w:val="none"/>
      <w:u w:val="none"/>
      <w:vertAlign w:val="baseline"/>
      <w:rtl w:val="0"/>
      <w:cs w:val="0"/>
      <w:lang w:val="ru-RU" w:eastAsia="en-US" w:bidi="ar-SA"/>
      <w14:ligatures w14:val="none"/>
    </w:rPr>
  </w:style>
  <w:style w:type="paragraph" w:styleId="1011" w:customStyle="1">
    <w:name w:val="Заголовок 3"/>
    <w:uiPriority w:val="9"/>
    <w:unhideWhenUsed/>
    <w:qFormat/>
    <w:pPr>
      <w:contextualSpacing w:val="0"/>
      <w:ind w:left="0" w:right="0" w:firstLine="709"/>
      <w:jc w:val="both"/>
      <w:keepLines w:val="0"/>
      <w:keepNext/>
      <w:pageBreakBefore w:val="0"/>
      <w:spacing w:before="240" w:beforeAutospacing="0" w:after="60" w:afterAutospacing="0" w:line="240" w:lineRule="auto"/>
      <w:shd w:val="nil"/>
      <w:widowControl/>
      <w:pBdr>
        <w:top w:val="none" w:color="000000" w:sz="4" w:space="0"/>
        <w:left w:val="none" w:color="000000" w:sz="4" w:space="0"/>
        <w:bottom w:val="none" w:color="000000" w:sz="4" w:space="0"/>
        <w:right w:val="none" w:color="000000" w:sz="4" w:space="0"/>
        <w:between w:val="none" w:color="000000" w:sz="4" w:space="0"/>
      </w:pBdr>
      <w:outlineLvl w:val="2"/>
      <w:suppressLineNumbers w:val="0"/>
    </w:pPr>
    <w:rPr>
      <w:rFonts w:ascii="Calibri Light" w:hAnsi="Calibri Light" w:eastAsia="Times New Roman" w:cs="Times New Roman"/>
      <w:b/>
      <w:bCs/>
      <w:i w:val="0"/>
      <w:iCs w:val="0"/>
      <w:caps w:val="0"/>
      <w:smallCaps w:val="0"/>
      <w:strike w:val="0"/>
      <w:vanish w:val="0"/>
      <w:color w:val="auto"/>
      <w:spacing w:val="0"/>
      <w:position w:val="0"/>
      <w:sz w:val="26"/>
      <w:szCs w:val="26"/>
      <w:highlight w:val="none"/>
      <w:u w:val="none"/>
      <w:vertAlign w:val="baseline"/>
      <w:rtl w:val="0"/>
      <w:cs w:val="0"/>
      <w:lang w:val="en-US" w:eastAsia="en-US" w:bidi="ar-SA"/>
      <w14:ligatures w14:val="none"/>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footer" Target="footer1.xml" /><Relationship Id="rId12" Type="http://schemas.openxmlformats.org/officeDocument/2006/relationships/customXml" Target="../customXml/item1.xml" /><Relationship Id="rId13" Type="http://schemas.openxmlformats.org/officeDocument/2006/relationships/image" Target="media/image1.jp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hyperlink" Target="https://www.nalog.gov.ru/rn77/news/activities_fts/15800404/" TargetMode="External"/><Relationship Id="rId24" Type="http://schemas.openxmlformats.org/officeDocument/2006/relationships/hyperlink" Target="https://rosreestr.gov.ru/press/archive/rosreestr-polnostyu-perekhodit-na-elektronnoe-vzaimodeystvie-s-yurlitsami/" TargetMode="External"/><Relationship Id="rId25" Type="http://schemas.openxmlformats.org/officeDocument/2006/relationships/hyperlink" Target="http://publication.pravo.gov.ru/document/0001202410290023?ysclid=m368bhuhu1479521419" TargetMode="External"/><Relationship Id="rId26" Type="http://schemas.openxmlformats.org/officeDocument/2006/relationships/hyperlink" Target="http://publication.pravo.gov.ru/document/0001202307240020" TargetMode="External"/><Relationship Id="rId27" Type="http://schemas.openxmlformats.org/officeDocument/2006/relationships/hyperlink" Target="https://rosreestr.gov.ru/press/archive/gosduma-prinyala-v-i-chtenii-zakonoproekt-rosreestra-o-podzemnykh-garazhakh/?ysclid=m6otqvh92v145690005" TargetMode="External"/><Relationship Id="rId28" Type="http://schemas.openxmlformats.org/officeDocument/2006/relationships/hyperlink" Target="https://rosreestr.gov.ru/press/archive/reg/novosibirskiy-rosreestr-otvetil-na-voprosy-o-litsenzirovanii-geodezicheskoy-i-kartograficheskoy-deya-10032025-54/www.gosuslugi.ru/621742/1/form" TargetMode="External"/><Relationship Id="rId29" Type="http://schemas.openxmlformats.org/officeDocument/2006/relationships/hyperlink" Target="https://rosreestr.gov.ru/press/archive/reg/novosibirskiy-rosreestr-otvetil-na-voprosy-o-litsenzirovanii-geodezicheskoy-i-kartograficheskoy-deya-10032025-54/www.gosuslugi.ru/621742/1/form" TargetMode="External"/><Relationship Id="rId30" Type="http://schemas.openxmlformats.org/officeDocument/2006/relationships/hyperlink" Target="https://rosreestr.gov.ru/press/archive/reg/novosibirskiy-rosreestr-otvetil-na-voprosy-o-litsenzirovanii-geodezicheskoy-i-kartograficheskoy-deya-10032025-54/rosreestr.gov.ru/open-service/audits/54_litsenzionnyy-kontrol-litsenziatov/profilaktika-narusheniy-licenzirovanie-54/2025/" TargetMode="External"/><Relationship Id="rId31" Type="http://schemas.openxmlformats.org/officeDocument/2006/relationships/hyperlink" Target="https://www.gosuslugi.ru/" TargetMode="External"/></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s>
</file>

<file path=word/_rels/header2.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D1D05F-EA87-412F-94C7-22C86E3B37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Р7-Офис/2024.3.2.551</Application>
  <Company>Microsoft</Company>
  <DocSecurity>0</DocSecurity>
  <HyperlinksChanged>false</HyperlinksChanged>
  <LinksUpToDate>false</LinksUpToDate>
  <ScaleCrop>false</ScaleCrop>
  <SharedDoc>false</SharedDoc>
  <Template>Normal</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ziaa</dc:creator>
  <cp:keywords/>
  <dc:description/>
  <cp:revision>68</cp:revision>
  <dcterms:created xsi:type="dcterms:W3CDTF">2023-01-26T03:20:00Z</dcterms:created>
  <dcterms:modified xsi:type="dcterms:W3CDTF">2025-04-10T01:31:56Z</dcterms:modified>
</cp:coreProperties>
</file>